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10346" w:type="dxa"/>
        <w:tblLook w:val="01E0" w:firstRow="1" w:lastRow="1" w:firstColumn="1" w:lastColumn="1" w:noHBand="0" w:noVBand="0"/>
      </w:tblPr>
      <w:tblGrid>
        <w:gridCol w:w="3574"/>
        <w:gridCol w:w="3197"/>
        <w:gridCol w:w="3575"/>
      </w:tblGrid>
      <w:tr w:rsidR="00CA50E7" w:rsidRPr="00350FC9" w:rsidTr="002D51F7">
        <w:trPr>
          <w:trHeight w:val="1586"/>
        </w:trPr>
        <w:tc>
          <w:tcPr>
            <w:tcW w:w="3574" w:type="dxa"/>
          </w:tcPr>
          <w:p w:rsidR="00CA50E7" w:rsidRPr="00350FC9" w:rsidRDefault="00CA50E7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«СЕВКАЗЭНЕРГО»</w:t>
            </w:r>
          </w:p>
          <w:p w:rsidR="00CA50E7" w:rsidRPr="00350FC9" w:rsidRDefault="00CA50E7" w:rsidP="00EA3B67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350FC9">
              <w:rPr>
                <w:b/>
                <w:bCs/>
                <w:sz w:val="22"/>
                <w:szCs w:val="22"/>
                <w:lang w:val="kk-KZ"/>
              </w:rPr>
              <w:t>Акционерлік қоғамы</w:t>
            </w:r>
          </w:p>
          <w:p w:rsidR="00CA50E7" w:rsidRPr="00350FC9" w:rsidRDefault="00CA50E7" w:rsidP="00EA3B67">
            <w:pPr>
              <w:rPr>
                <w:sz w:val="22"/>
                <w:szCs w:val="22"/>
              </w:rPr>
            </w:pPr>
          </w:p>
          <w:p w:rsidR="00CA50E7" w:rsidRPr="00350FC9" w:rsidRDefault="00CA50E7" w:rsidP="00EA3B67">
            <w:pPr>
              <w:rPr>
                <w:sz w:val="22"/>
                <w:szCs w:val="22"/>
              </w:rPr>
            </w:pPr>
          </w:p>
          <w:p w:rsidR="00CA50E7" w:rsidRPr="00350FC9" w:rsidRDefault="00CA50E7" w:rsidP="00EA3B67">
            <w:pPr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CA50E7" w:rsidRPr="00350FC9" w:rsidRDefault="00CA50E7" w:rsidP="00EA3B67">
            <w:pPr>
              <w:rPr>
                <w:sz w:val="22"/>
                <w:szCs w:val="22"/>
              </w:rPr>
            </w:pPr>
            <w:r w:rsidRPr="00350FC9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0D68101A" wp14:editId="6C3E7F9F">
                  <wp:simplePos x="0" y="0"/>
                  <wp:positionH relativeFrom="column">
                    <wp:posOffset>27443</wp:posOffset>
                  </wp:positionH>
                  <wp:positionV relativeFrom="paragraph">
                    <wp:posOffset>635</wp:posOffset>
                  </wp:positionV>
                  <wp:extent cx="1988820" cy="913130"/>
                  <wp:effectExtent l="0" t="0" r="0" b="1270"/>
                  <wp:wrapNone/>
                  <wp:docPr id="4" name="Рисунок 4" descr="Логотип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brigh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913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5" w:type="dxa"/>
            <w:hideMark/>
          </w:tcPr>
          <w:p w:rsidR="00CA50E7" w:rsidRPr="00350FC9" w:rsidRDefault="00CA50E7" w:rsidP="00EA3B67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350FC9">
              <w:rPr>
                <w:b/>
                <w:bCs/>
                <w:sz w:val="22"/>
                <w:szCs w:val="22"/>
                <w:lang w:val="kk-KZ"/>
              </w:rPr>
              <w:t>Акционерное общество</w:t>
            </w:r>
          </w:p>
          <w:p w:rsidR="00CA50E7" w:rsidRPr="00350FC9" w:rsidRDefault="00CA50E7" w:rsidP="00EA3B67">
            <w:pPr>
              <w:jc w:val="center"/>
              <w:rPr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  <w:lang w:val="kk-KZ"/>
              </w:rPr>
              <w:t>«СЕВКАЗЭНЕРГО</w:t>
            </w:r>
            <w:r w:rsidRPr="00350FC9">
              <w:rPr>
                <w:b/>
                <w:bCs/>
                <w:sz w:val="22"/>
                <w:szCs w:val="22"/>
              </w:rPr>
              <w:t>»</w:t>
            </w:r>
          </w:p>
        </w:tc>
      </w:tr>
    </w:tbl>
    <w:p w:rsidR="001C2816" w:rsidRPr="00350FC9" w:rsidRDefault="001C2816" w:rsidP="00EA3B67">
      <w:pPr>
        <w:contextualSpacing/>
        <w:rPr>
          <w:b/>
          <w:bCs/>
          <w:sz w:val="22"/>
          <w:szCs w:val="22"/>
          <w:shd w:val="clear" w:color="auto" w:fill="FFFFFF"/>
        </w:rPr>
      </w:pPr>
    </w:p>
    <w:p w:rsidR="001C2816" w:rsidRPr="00350FC9" w:rsidRDefault="001C2816" w:rsidP="00EA3B67">
      <w:pPr>
        <w:contextualSpacing/>
        <w:rPr>
          <w:b/>
          <w:bCs/>
          <w:sz w:val="22"/>
          <w:szCs w:val="22"/>
          <w:shd w:val="clear" w:color="auto" w:fill="FFFFFF"/>
        </w:rPr>
      </w:pPr>
      <w:r w:rsidRPr="00350FC9">
        <w:rPr>
          <w:b/>
          <w:bCs/>
          <w:sz w:val="22"/>
          <w:szCs w:val="22"/>
          <w:shd w:val="clear" w:color="auto" w:fill="FFFFFF"/>
        </w:rPr>
        <w:t xml:space="preserve">г. Петропавловск </w:t>
      </w:r>
      <w:r w:rsidRPr="00350FC9">
        <w:rPr>
          <w:b/>
          <w:bCs/>
          <w:sz w:val="22"/>
          <w:szCs w:val="22"/>
          <w:shd w:val="clear" w:color="auto" w:fill="FFFFFF"/>
        </w:rPr>
        <w:tab/>
      </w:r>
      <w:r w:rsidRPr="00350FC9">
        <w:rPr>
          <w:b/>
          <w:bCs/>
          <w:sz w:val="22"/>
          <w:szCs w:val="22"/>
          <w:shd w:val="clear" w:color="auto" w:fill="FFFFFF"/>
        </w:rPr>
        <w:tab/>
      </w:r>
      <w:r w:rsidRPr="00350FC9">
        <w:rPr>
          <w:b/>
          <w:bCs/>
          <w:sz w:val="22"/>
          <w:szCs w:val="22"/>
          <w:shd w:val="clear" w:color="auto" w:fill="FFFFFF"/>
        </w:rPr>
        <w:tab/>
      </w:r>
      <w:r w:rsidRPr="00350FC9">
        <w:rPr>
          <w:b/>
          <w:bCs/>
          <w:sz w:val="22"/>
          <w:szCs w:val="22"/>
          <w:shd w:val="clear" w:color="auto" w:fill="FFFFFF"/>
        </w:rPr>
        <w:tab/>
      </w:r>
      <w:r w:rsidRPr="00350FC9">
        <w:rPr>
          <w:b/>
          <w:bCs/>
          <w:sz w:val="22"/>
          <w:szCs w:val="22"/>
          <w:shd w:val="clear" w:color="auto" w:fill="FFFFFF"/>
        </w:rPr>
        <w:tab/>
      </w:r>
      <w:r w:rsidRPr="00350FC9">
        <w:rPr>
          <w:b/>
          <w:bCs/>
          <w:sz w:val="22"/>
          <w:szCs w:val="22"/>
          <w:shd w:val="clear" w:color="auto" w:fill="FFFFFF"/>
        </w:rPr>
        <w:tab/>
      </w:r>
      <w:r w:rsidRPr="00350FC9">
        <w:rPr>
          <w:b/>
          <w:bCs/>
          <w:sz w:val="22"/>
          <w:szCs w:val="22"/>
          <w:shd w:val="clear" w:color="auto" w:fill="FFFFFF"/>
        </w:rPr>
        <w:tab/>
      </w:r>
      <w:r w:rsidRPr="00350FC9">
        <w:rPr>
          <w:b/>
          <w:bCs/>
          <w:sz w:val="22"/>
          <w:szCs w:val="22"/>
          <w:shd w:val="clear" w:color="auto" w:fill="FFFFFF"/>
        </w:rPr>
        <w:tab/>
        <w:t xml:space="preserve">                       </w:t>
      </w:r>
      <w:r w:rsidR="00350FC9">
        <w:rPr>
          <w:b/>
          <w:bCs/>
          <w:sz w:val="22"/>
          <w:szCs w:val="22"/>
          <w:shd w:val="clear" w:color="auto" w:fill="FFFFFF"/>
        </w:rPr>
        <w:t xml:space="preserve">     </w:t>
      </w:r>
      <w:r w:rsidR="006A27AF" w:rsidRPr="00350FC9">
        <w:rPr>
          <w:b/>
          <w:bCs/>
          <w:sz w:val="22"/>
          <w:szCs w:val="22"/>
          <w:shd w:val="clear" w:color="auto" w:fill="FFFFFF"/>
        </w:rPr>
        <w:t>20</w:t>
      </w:r>
      <w:r w:rsidRPr="00350FC9">
        <w:rPr>
          <w:b/>
          <w:bCs/>
          <w:sz w:val="22"/>
          <w:szCs w:val="22"/>
          <w:shd w:val="clear" w:color="auto" w:fill="FFFFFF"/>
        </w:rPr>
        <w:t xml:space="preserve"> марта 201</w:t>
      </w:r>
      <w:r w:rsidR="00117FE1" w:rsidRPr="00350FC9">
        <w:rPr>
          <w:b/>
          <w:bCs/>
          <w:sz w:val="22"/>
          <w:szCs w:val="22"/>
          <w:shd w:val="clear" w:color="auto" w:fill="FFFFFF"/>
          <w:lang w:val="en-US"/>
        </w:rPr>
        <w:t>9</w:t>
      </w:r>
      <w:r w:rsidRPr="00350FC9">
        <w:rPr>
          <w:b/>
          <w:bCs/>
          <w:sz w:val="22"/>
          <w:szCs w:val="22"/>
          <w:shd w:val="clear" w:color="auto" w:fill="FFFFFF"/>
        </w:rPr>
        <w:t xml:space="preserve"> г. </w:t>
      </w:r>
    </w:p>
    <w:p w:rsidR="001C2816" w:rsidRPr="00350FC9" w:rsidRDefault="001C2816" w:rsidP="00EA3B67">
      <w:pPr>
        <w:contextualSpacing/>
        <w:rPr>
          <w:b/>
          <w:bCs/>
          <w:sz w:val="22"/>
          <w:szCs w:val="22"/>
          <w:shd w:val="clear" w:color="auto" w:fill="FFFFFF"/>
        </w:rPr>
      </w:pPr>
    </w:p>
    <w:p w:rsidR="001C2816" w:rsidRPr="00350FC9" w:rsidRDefault="001C2816" w:rsidP="00EA3B67">
      <w:pPr>
        <w:contextualSpacing/>
        <w:jc w:val="center"/>
        <w:rPr>
          <w:b/>
          <w:bCs/>
          <w:sz w:val="22"/>
          <w:szCs w:val="22"/>
          <w:shd w:val="clear" w:color="auto" w:fill="FFFFFF"/>
        </w:rPr>
      </w:pPr>
      <w:r w:rsidRPr="00350FC9">
        <w:rPr>
          <w:b/>
          <w:bCs/>
          <w:sz w:val="22"/>
          <w:szCs w:val="22"/>
          <w:shd w:val="clear" w:color="auto" w:fill="FFFFFF"/>
        </w:rPr>
        <w:t>О деятельности Петропавловской ТЭЦ-2 АО «СЕВКАЗЭНЕРГО» по предоставлению регулируемых услуг по итогам 201</w:t>
      </w:r>
      <w:r w:rsidR="00117FE1" w:rsidRPr="00350FC9">
        <w:rPr>
          <w:b/>
          <w:bCs/>
          <w:sz w:val="22"/>
          <w:szCs w:val="22"/>
          <w:shd w:val="clear" w:color="auto" w:fill="FFFFFF"/>
        </w:rPr>
        <w:t>8</w:t>
      </w:r>
      <w:r w:rsidRPr="00350FC9">
        <w:rPr>
          <w:b/>
          <w:bCs/>
          <w:sz w:val="22"/>
          <w:szCs w:val="22"/>
          <w:shd w:val="clear" w:color="auto" w:fill="FFFFFF"/>
        </w:rPr>
        <w:t xml:space="preserve"> года</w:t>
      </w:r>
    </w:p>
    <w:p w:rsidR="001C2816" w:rsidRPr="00350FC9" w:rsidRDefault="001C2816" w:rsidP="00EA3B67">
      <w:pPr>
        <w:contextualSpacing/>
        <w:jc w:val="center"/>
        <w:rPr>
          <w:b/>
          <w:bCs/>
          <w:sz w:val="22"/>
          <w:szCs w:val="22"/>
          <w:shd w:val="clear" w:color="auto" w:fill="FFFFFF"/>
        </w:rPr>
      </w:pPr>
    </w:p>
    <w:p w:rsidR="00117FE1" w:rsidRPr="00350FC9" w:rsidRDefault="00117FE1" w:rsidP="00117FE1">
      <w:pPr>
        <w:ind w:firstLine="708"/>
        <w:jc w:val="both"/>
        <w:rPr>
          <w:kern w:val="2"/>
          <w:sz w:val="22"/>
          <w:szCs w:val="22"/>
        </w:rPr>
      </w:pPr>
      <w:r w:rsidRPr="00350FC9">
        <w:rPr>
          <w:kern w:val="2"/>
          <w:sz w:val="22"/>
          <w:szCs w:val="22"/>
        </w:rPr>
        <w:t xml:space="preserve">АО «СЕВКАЗЭНЕРГО» - </w:t>
      </w:r>
      <w:r w:rsidRPr="00350FC9">
        <w:rPr>
          <w:sz w:val="22"/>
          <w:szCs w:val="22"/>
        </w:rPr>
        <w:t xml:space="preserve">это теплоэлектроцентраль, основным видом деятельности которой является комбинированное производство электрической и тепловой энергии. Станция введена в эксплуатацию в 1961 году и предназначена для покрытия электрических и тепловых нагрузок, а также </w:t>
      </w:r>
      <w:proofErr w:type="spellStart"/>
      <w:r w:rsidRPr="00350FC9">
        <w:rPr>
          <w:sz w:val="22"/>
          <w:szCs w:val="22"/>
        </w:rPr>
        <w:t>взаиморезервирования</w:t>
      </w:r>
      <w:proofErr w:type="spellEnd"/>
      <w:r w:rsidRPr="00350FC9">
        <w:rPr>
          <w:sz w:val="22"/>
          <w:szCs w:val="22"/>
        </w:rPr>
        <w:t xml:space="preserve"> с объединенной энергосистемой. </w:t>
      </w:r>
      <w:r w:rsidRPr="00350FC9">
        <w:rPr>
          <w:kern w:val="2"/>
          <w:sz w:val="22"/>
          <w:szCs w:val="22"/>
        </w:rPr>
        <w:t xml:space="preserve">Установленная электрическая мощность за 2018 год составила – 541 МВт, тепловая мощность – 713 Гкал/час. </w:t>
      </w:r>
    </w:p>
    <w:p w:rsidR="00117FE1" w:rsidRPr="00350FC9" w:rsidRDefault="00117FE1" w:rsidP="00117FE1">
      <w:pPr>
        <w:ind w:firstLine="567"/>
        <w:jc w:val="both"/>
        <w:rPr>
          <w:sz w:val="22"/>
          <w:szCs w:val="22"/>
        </w:rPr>
      </w:pPr>
      <w:r w:rsidRPr="00350FC9">
        <w:rPr>
          <w:sz w:val="22"/>
          <w:szCs w:val="22"/>
        </w:rPr>
        <w:t xml:space="preserve">Приказом Департамента Агентства РК по регулированию естественных монополий по СКО от 27 января 2009 года №19-ОД, АО «СЕВКАЗЭНЕРГО» включено в местный раздел Государственного регистра субъектов естественных монополий по СКО по производству тепловой  энергии. </w:t>
      </w:r>
    </w:p>
    <w:p w:rsidR="00117FE1" w:rsidRPr="00350FC9" w:rsidRDefault="00117FE1" w:rsidP="00117FE1">
      <w:pPr>
        <w:ind w:firstLine="567"/>
        <w:jc w:val="both"/>
        <w:rPr>
          <w:sz w:val="22"/>
          <w:szCs w:val="22"/>
        </w:rPr>
      </w:pPr>
      <w:proofErr w:type="gramStart"/>
      <w:r w:rsidRPr="00350FC9">
        <w:rPr>
          <w:sz w:val="22"/>
          <w:szCs w:val="22"/>
        </w:rPr>
        <w:t>С 1 января 2018 года приказом Департамента Комитета по регулированию естественных монополий и защите конкуренции Министерства национальной экономики Республики Казахстан по Северо-Казахстанской области от 24 ноября 2015 года № 152 – ОД «Об утверждении предельного уровня тарифа и тарифной сметы на услугу по производству тепловой энергии АО «СЕВКАЗЭНЕРГО» на долгосрочный период с 1 января 2016 года по 31 декабря 2020 года» введен</w:t>
      </w:r>
      <w:proofErr w:type="gramEnd"/>
      <w:r w:rsidRPr="00350FC9">
        <w:rPr>
          <w:sz w:val="22"/>
          <w:szCs w:val="22"/>
        </w:rPr>
        <w:t xml:space="preserve"> тариф на регулируемую услугу в размере 1939,84 тенге/Гкал без учёта НДС.</w:t>
      </w:r>
    </w:p>
    <w:p w:rsidR="00FA0566" w:rsidRPr="00350FC9" w:rsidRDefault="00117FE1" w:rsidP="00117FE1">
      <w:pPr>
        <w:ind w:firstLine="567"/>
        <w:jc w:val="both"/>
        <w:rPr>
          <w:sz w:val="22"/>
          <w:szCs w:val="22"/>
        </w:rPr>
      </w:pPr>
      <w:r w:rsidRPr="00350FC9">
        <w:rPr>
          <w:kern w:val="2"/>
          <w:sz w:val="22"/>
          <w:szCs w:val="22"/>
        </w:rPr>
        <w:t xml:space="preserve">8 февраля 2018 года АО «СЕВКАЗНЕРГО» обратилось в </w:t>
      </w:r>
      <w:r w:rsidRPr="00350FC9">
        <w:rPr>
          <w:sz w:val="22"/>
          <w:szCs w:val="22"/>
        </w:rPr>
        <w:t xml:space="preserve">Департамент с заявкой на утверждение тарифа </w:t>
      </w:r>
      <w:r w:rsidR="00FD682C">
        <w:rPr>
          <w:sz w:val="22"/>
          <w:szCs w:val="22"/>
        </w:rPr>
        <w:t>по</w:t>
      </w:r>
      <w:r w:rsidRPr="00350FC9">
        <w:rPr>
          <w:sz w:val="22"/>
          <w:szCs w:val="22"/>
        </w:rPr>
        <w:t xml:space="preserve"> производств</w:t>
      </w:r>
      <w:r w:rsidR="00FD682C">
        <w:rPr>
          <w:sz w:val="22"/>
          <w:szCs w:val="22"/>
        </w:rPr>
        <w:t>у</w:t>
      </w:r>
      <w:r w:rsidRPr="00350FC9">
        <w:rPr>
          <w:sz w:val="22"/>
          <w:szCs w:val="22"/>
        </w:rPr>
        <w:t xml:space="preserve"> тепловой энергии в качестве чрезвычайной регулирующей меры. </w:t>
      </w:r>
      <w:proofErr w:type="gramStart"/>
      <w:r w:rsidRPr="00350FC9">
        <w:rPr>
          <w:sz w:val="22"/>
          <w:szCs w:val="22"/>
        </w:rPr>
        <w:t>Приказом РГУ "ДКРЕМ и ЗК Министерства национальной экономики РК по СКО № 30-ОД от 27 февраля 2018 года  " Об утверждении тарифной сметы в качестве чрезвычайной регулирующей меры на услугу по производству тепловой энергии АО "СЕВКАЗЭНЕРГО" на период с 06 марта 2018 года по 31 декабря  2018 года", был утверждён тариф с 06 марта  2018 года в размере 1995,38 тенге/Гкал без</w:t>
      </w:r>
      <w:proofErr w:type="gramEnd"/>
      <w:r w:rsidRPr="00350FC9">
        <w:rPr>
          <w:sz w:val="22"/>
          <w:szCs w:val="22"/>
        </w:rPr>
        <w:t xml:space="preserve"> НДС. Приказом РГУ "ДКРЕМ и ЗК Министерства национальной экономики РК по СКО № 62-ОД от 28 апреля 2018 года  о внесении изменения в приказ 30-ОД ДКРЕМ и ЗК, введение в действие тарифа на производство тепловой энергии перенесено с 6 марта 2018 года на 1 июля 2018 г.</w:t>
      </w:r>
    </w:p>
    <w:p w:rsidR="00D65CB8" w:rsidRPr="00350FC9" w:rsidRDefault="000B193F" w:rsidP="00EA3B67">
      <w:pPr>
        <w:ind w:firstLine="567"/>
        <w:jc w:val="both"/>
        <w:rPr>
          <w:sz w:val="22"/>
          <w:szCs w:val="22"/>
        </w:rPr>
      </w:pPr>
      <w:r w:rsidRPr="00350FC9">
        <w:rPr>
          <w:bCs/>
          <w:kern w:val="2"/>
          <w:sz w:val="22"/>
          <w:szCs w:val="22"/>
        </w:rPr>
        <w:t>Основными потребителями тепловой энерг</w:t>
      </w:r>
      <w:proofErr w:type="gramStart"/>
      <w:r w:rsidRPr="00350FC9">
        <w:rPr>
          <w:bCs/>
          <w:kern w:val="2"/>
          <w:sz w:val="22"/>
          <w:szCs w:val="22"/>
        </w:rPr>
        <w:t>ии АО</w:t>
      </w:r>
      <w:proofErr w:type="gramEnd"/>
      <w:r w:rsidRPr="00350FC9">
        <w:rPr>
          <w:bCs/>
          <w:kern w:val="2"/>
          <w:sz w:val="22"/>
          <w:szCs w:val="22"/>
        </w:rPr>
        <w:t xml:space="preserve"> «СЕВКАЗЭНЕРГО» являются: ТОО «Петропавловские тепловые сети» и ТОО «</w:t>
      </w:r>
      <w:proofErr w:type="spellStart"/>
      <w:r w:rsidRPr="00350FC9">
        <w:rPr>
          <w:bCs/>
          <w:kern w:val="2"/>
          <w:sz w:val="22"/>
          <w:szCs w:val="22"/>
        </w:rPr>
        <w:t>Севказэнергосбыт</w:t>
      </w:r>
      <w:proofErr w:type="spellEnd"/>
      <w:r w:rsidRPr="00350FC9">
        <w:rPr>
          <w:bCs/>
          <w:kern w:val="2"/>
          <w:sz w:val="22"/>
          <w:szCs w:val="22"/>
        </w:rPr>
        <w:t xml:space="preserve">». Проводимая работа с потребителями осуществляется в рамках действующего законодательства о естественных монополиях и регламентирована обязанностями субъекта естественной монополии предоставлять регулируемые услуги по тарифам, утвержденным уполномоченным органом, в том числе предоставлять равные условия потребителям, в </w:t>
      </w:r>
      <w:proofErr w:type="gramStart"/>
      <w:r w:rsidRPr="00350FC9">
        <w:rPr>
          <w:bCs/>
          <w:kern w:val="2"/>
          <w:sz w:val="22"/>
          <w:szCs w:val="22"/>
        </w:rPr>
        <w:t>порядке</w:t>
      </w:r>
      <w:proofErr w:type="gramEnd"/>
      <w:r w:rsidRPr="00350FC9">
        <w:rPr>
          <w:bCs/>
          <w:kern w:val="2"/>
          <w:sz w:val="22"/>
          <w:szCs w:val="22"/>
        </w:rPr>
        <w:t xml:space="preserve"> утвержденном уполномоченным органом.</w:t>
      </w:r>
    </w:p>
    <w:p w:rsidR="00EC30FF" w:rsidRPr="00350FC9" w:rsidRDefault="00EC30FF" w:rsidP="00EA3B67">
      <w:pPr>
        <w:pStyle w:val="2"/>
        <w:ind w:firstLine="567"/>
        <w:jc w:val="center"/>
        <w:rPr>
          <w:b/>
          <w:sz w:val="22"/>
          <w:szCs w:val="22"/>
        </w:rPr>
      </w:pPr>
    </w:p>
    <w:p w:rsidR="00C50645" w:rsidRPr="00350FC9" w:rsidRDefault="00C50645" w:rsidP="00EA3B67">
      <w:pPr>
        <w:pStyle w:val="2"/>
        <w:ind w:firstLine="567"/>
        <w:jc w:val="center"/>
        <w:rPr>
          <w:b/>
          <w:sz w:val="22"/>
          <w:szCs w:val="22"/>
        </w:rPr>
      </w:pPr>
      <w:r w:rsidRPr="00350FC9">
        <w:rPr>
          <w:b/>
          <w:sz w:val="22"/>
          <w:szCs w:val="22"/>
        </w:rPr>
        <w:t>Основные технико-экономические показатели</w:t>
      </w:r>
    </w:p>
    <w:tbl>
      <w:tblPr>
        <w:tblW w:w="0" w:type="auto"/>
        <w:tblCellSpacing w:w="20" w:type="dxa"/>
        <w:tblInd w:w="20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95"/>
        <w:gridCol w:w="5542"/>
        <w:gridCol w:w="1701"/>
        <w:gridCol w:w="2127"/>
      </w:tblGrid>
      <w:tr w:rsidR="009530AE" w:rsidRPr="00350FC9" w:rsidTr="009C6814">
        <w:trPr>
          <w:trHeight w:val="372"/>
          <w:tblCellSpacing w:w="20" w:type="dxa"/>
        </w:trPr>
        <w:tc>
          <w:tcPr>
            <w:tcW w:w="635" w:type="dxa"/>
            <w:shd w:val="clear" w:color="auto" w:fill="auto"/>
            <w:vAlign w:val="center"/>
          </w:tcPr>
          <w:p w:rsidR="00C50645" w:rsidRPr="00350FC9" w:rsidRDefault="00C50645" w:rsidP="00EA3B67">
            <w:pPr>
              <w:pStyle w:val="2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50FC9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350FC9">
              <w:rPr>
                <w:b/>
                <w:sz w:val="22"/>
                <w:szCs w:val="22"/>
              </w:rPr>
              <w:t>п</w:t>
            </w:r>
            <w:proofErr w:type="gramEnd"/>
            <w:r w:rsidRPr="00350FC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502" w:type="dxa"/>
            <w:shd w:val="clear" w:color="auto" w:fill="auto"/>
            <w:vAlign w:val="center"/>
          </w:tcPr>
          <w:p w:rsidR="00C50645" w:rsidRPr="00350FC9" w:rsidRDefault="009275A7" w:rsidP="00EA3B67">
            <w:pPr>
              <w:pStyle w:val="2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50FC9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50645" w:rsidRPr="00350FC9" w:rsidRDefault="009275A7" w:rsidP="00EA3B67">
            <w:pPr>
              <w:pStyle w:val="2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50FC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C50645" w:rsidRPr="00350FC9" w:rsidRDefault="00AE0733" w:rsidP="00BC634F">
            <w:pPr>
              <w:pStyle w:val="2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50FC9">
              <w:rPr>
                <w:b/>
                <w:sz w:val="22"/>
                <w:szCs w:val="22"/>
              </w:rPr>
              <w:t xml:space="preserve">Отчет за </w:t>
            </w:r>
            <w:r w:rsidR="009275A7" w:rsidRPr="00350FC9">
              <w:rPr>
                <w:b/>
                <w:sz w:val="22"/>
                <w:szCs w:val="22"/>
              </w:rPr>
              <w:t>20</w:t>
            </w:r>
            <w:r w:rsidR="00552848" w:rsidRPr="00350FC9">
              <w:rPr>
                <w:b/>
                <w:sz w:val="22"/>
                <w:szCs w:val="22"/>
              </w:rPr>
              <w:t>1</w:t>
            </w:r>
            <w:r w:rsidR="00BC634F" w:rsidRPr="00350FC9">
              <w:rPr>
                <w:b/>
                <w:sz w:val="22"/>
                <w:szCs w:val="22"/>
              </w:rPr>
              <w:t>8</w:t>
            </w:r>
            <w:r w:rsidR="00A16D78" w:rsidRPr="00350FC9">
              <w:rPr>
                <w:b/>
                <w:sz w:val="22"/>
                <w:szCs w:val="22"/>
              </w:rPr>
              <w:t xml:space="preserve"> </w:t>
            </w:r>
            <w:r w:rsidR="009275A7" w:rsidRPr="00350FC9">
              <w:rPr>
                <w:b/>
                <w:sz w:val="22"/>
                <w:szCs w:val="22"/>
              </w:rPr>
              <w:t>год</w:t>
            </w:r>
          </w:p>
        </w:tc>
      </w:tr>
      <w:tr w:rsidR="009530AE" w:rsidRPr="00350FC9" w:rsidTr="00533E9D">
        <w:trPr>
          <w:trHeight w:val="176"/>
          <w:tblCellSpacing w:w="20" w:type="dxa"/>
        </w:trPr>
        <w:tc>
          <w:tcPr>
            <w:tcW w:w="635" w:type="dxa"/>
            <w:shd w:val="clear" w:color="auto" w:fill="auto"/>
          </w:tcPr>
          <w:p w:rsidR="006379F5" w:rsidRPr="00350FC9" w:rsidRDefault="006379F5" w:rsidP="00EA3B67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</w:t>
            </w:r>
          </w:p>
        </w:tc>
        <w:tc>
          <w:tcPr>
            <w:tcW w:w="5502" w:type="dxa"/>
            <w:shd w:val="clear" w:color="auto" w:fill="auto"/>
          </w:tcPr>
          <w:p w:rsidR="00C50645" w:rsidRPr="00350FC9" w:rsidRDefault="00D377EA" w:rsidP="00EA3B67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Выработка электроэнергии</w:t>
            </w:r>
          </w:p>
        </w:tc>
        <w:tc>
          <w:tcPr>
            <w:tcW w:w="1661" w:type="dxa"/>
            <w:shd w:val="clear" w:color="auto" w:fill="auto"/>
          </w:tcPr>
          <w:p w:rsidR="00C50645" w:rsidRPr="00350FC9" w:rsidRDefault="00D377EA" w:rsidP="00EA3B67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350FC9">
              <w:rPr>
                <w:sz w:val="22"/>
                <w:szCs w:val="22"/>
              </w:rPr>
              <w:t>млн</w:t>
            </w:r>
            <w:proofErr w:type="gramStart"/>
            <w:r w:rsidRPr="00350FC9">
              <w:rPr>
                <w:sz w:val="22"/>
                <w:szCs w:val="22"/>
              </w:rPr>
              <w:t>.к</w:t>
            </w:r>
            <w:proofErr w:type="gramEnd"/>
            <w:r w:rsidRPr="00350FC9">
              <w:rPr>
                <w:sz w:val="22"/>
                <w:szCs w:val="22"/>
              </w:rPr>
              <w:t>Втч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C50645" w:rsidRPr="00350FC9" w:rsidRDefault="00D66990" w:rsidP="004942AC">
            <w:pPr>
              <w:pStyle w:val="2"/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350FC9">
              <w:rPr>
                <w:sz w:val="22"/>
                <w:szCs w:val="22"/>
              </w:rPr>
              <w:t>3 2</w:t>
            </w:r>
            <w:r w:rsidR="004942AC" w:rsidRPr="00350FC9">
              <w:rPr>
                <w:sz w:val="22"/>
                <w:szCs w:val="22"/>
                <w:lang w:val="en-US"/>
              </w:rPr>
              <w:t>11</w:t>
            </w:r>
            <w:r w:rsidRPr="00350FC9">
              <w:rPr>
                <w:sz w:val="22"/>
                <w:szCs w:val="22"/>
              </w:rPr>
              <w:t>,1</w:t>
            </w:r>
            <w:r w:rsidR="004942AC" w:rsidRPr="00350FC9">
              <w:rPr>
                <w:sz w:val="22"/>
                <w:szCs w:val="22"/>
                <w:lang w:val="en-US"/>
              </w:rPr>
              <w:t>1</w:t>
            </w:r>
          </w:p>
        </w:tc>
      </w:tr>
      <w:tr w:rsidR="006F597C" w:rsidRPr="00350FC9" w:rsidTr="00533E9D">
        <w:trPr>
          <w:trHeight w:val="196"/>
          <w:tblCellSpacing w:w="20" w:type="dxa"/>
        </w:trPr>
        <w:tc>
          <w:tcPr>
            <w:tcW w:w="635" w:type="dxa"/>
            <w:shd w:val="clear" w:color="auto" w:fill="auto"/>
          </w:tcPr>
          <w:p w:rsidR="006F597C" w:rsidRPr="00350FC9" w:rsidRDefault="008E4C08" w:rsidP="00EA3B67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2</w:t>
            </w:r>
          </w:p>
        </w:tc>
        <w:tc>
          <w:tcPr>
            <w:tcW w:w="5502" w:type="dxa"/>
            <w:shd w:val="clear" w:color="auto" w:fill="auto"/>
          </w:tcPr>
          <w:p w:rsidR="006F597C" w:rsidRPr="00350FC9" w:rsidRDefault="00603FCA" w:rsidP="00EA3B67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 xml:space="preserve">Отпуск </w:t>
            </w:r>
            <w:proofErr w:type="spellStart"/>
            <w:r w:rsidRPr="00350FC9">
              <w:rPr>
                <w:sz w:val="22"/>
                <w:szCs w:val="22"/>
              </w:rPr>
              <w:t>теплоэнергии</w:t>
            </w:r>
            <w:proofErr w:type="spellEnd"/>
            <w:r w:rsidRPr="00350FC9">
              <w:rPr>
                <w:sz w:val="22"/>
                <w:szCs w:val="22"/>
              </w:rPr>
              <w:t xml:space="preserve"> с коллекторов</w:t>
            </w:r>
          </w:p>
        </w:tc>
        <w:tc>
          <w:tcPr>
            <w:tcW w:w="1661" w:type="dxa"/>
            <w:shd w:val="clear" w:color="auto" w:fill="auto"/>
          </w:tcPr>
          <w:p w:rsidR="006F597C" w:rsidRPr="00350FC9" w:rsidRDefault="00603FCA" w:rsidP="00EA3B67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350FC9">
              <w:rPr>
                <w:sz w:val="22"/>
                <w:szCs w:val="22"/>
              </w:rPr>
              <w:t>тыс</w:t>
            </w:r>
            <w:proofErr w:type="gramStart"/>
            <w:r w:rsidRPr="00350FC9">
              <w:rPr>
                <w:sz w:val="22"/>
                <w:szCs w:val="22"/>
              </w:rPr>
              <w:t>.Г</w:t>
            </w:r>
            <w:proofErr w:type="gramEnd"/>
            <w:r w:rsidRPr="00350FC9">
              <w:rPr>
                <w:sz w:val="22"/>
                <w:szCs w:val="22"/>
              </w:rPr>
              <w:t>кал</w:t>
            </w:r>
            <w:proofErr w:type="spellEnd"/>
            <w:r w:rsidR="006F597C" w:rsidRPr="00350FC9">
              <w:rPr>
                <w:sz w:val="22"/>
                <w:szCs w:val="22"/>
              </w:rPr>
              <w:t>.</w:t>
            </w:r>
          </w:p>
        </w:tc>
        <w:tc>
          <w:tcPr>
            <w:tcW w:w="2067" w:type="dxa"/>
            <w:shd w:val="clear" w:color="auto" w:fill="auto"/>
          </w:tcPr>
          <w:p w:rsidR="00D66990" w:rsidRPr="00350FC9" w:rsidRDefault="00D66990" w:rsidP="005D44B6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</w:t>
            </w:r>
            <w:r w:rsidR="005D44B6">
              <w:rPr>
                <w:sz w:val="22"/>
                <w:szCs w:val="22"/>
              </w:rPr>
              <w:t> 892,81</w:t>
            </w:r>
          </w:p>
        </w:tc>
      </w:tr>
      <w:tr w:rsidR="00AE0733" w:rsidRPr="00350FC9" w:rsidTr="00533E9D">
        <w:trPr>
          <w:trHeight w:val="196"/>
          <w:tblCellSpacing w:w="20" w:type="dxa"/>
        </w:trPr>
        <w:tc>
          <w:tcPr>
            <w:tcW w:w="635" w:type="dxa"/>
            <w:shd w:val="clear" w:color="auto" w:fill="auto"/>
          </w:tcPr>
          <w:p w:rsidR="00AE0733" w:rsidRPr="00350FC9" w:rsidRDefault="008E4C08" w:rsidP="00EA3B67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3</w:t>
            </w:r>
          </w:p>
        </w:tc>
        <w:tc>
          <w:tcPr>
            <w:tcW w:w="5502" w:type="dxa"/>
            <w:shd w:val="clear" w:color="auto" w:fill="auto"/>
          </w:tcPr>
          <w:p w:rsidR="00AE0733" w:rsidRPr="00350FC9" w:rsidRDefault="00603FCA" w:rsidP="00EA3B67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Собственные нужды</w:t>
            </w:r>
          </w:p>
        </w:tc>
        <w:tc>
          <w:tcPr>
            <w:tcW w:w="1661" w:type="dxa"/>
            <w:shd w:val="clear" w:color="auto" w:fill="auto"/>
          </w:tcPr>
          <w:p w:rsidR="00AE0733" w:rsidRPr="00350FC9" w:rsidRDefault="00603FCA" w:rsidP="00EA3B67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350FC9">
              <w:rPr>
                <w:sz w:val="22"/>
                <w:szCs w:val="22"/>
              </w:rPr>
              <w:t>млн</w:t>
            </w:r>
            <w:proofErr w:type="gramStart"/>
            <w:r w:rsidRPr="00350FC9">
              <w:rPr>
                <w:sz w:val="22"/>
                <w:szCs w:val="22"/>
              </w:rPr>
              <w:t>.к</w:t>
            </w:r>
            <w:proofErr w:type="gramEnd"/>
            <w:r w:rsidRPr="00350FC9">
              <w:rPr>
                <w:sz w:val="22"/>
                <w:szCs w:val="22"/>
              </w:rPr>
              <w:t>Втч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283438" w:rsidRPr="00350FC9" w:rsidRDefault="004942AC" w:rsidP="00EA3B67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370,11</w:t>
            </w:r>
          </w:p>
        </w:tc>
      </w:tr>
      <w:tr w:rsidR="009530AE" w:rsidRPr="00350FC9" w:rsidTr="00533E9D">
        <w:trPr>
          <w:trHeight w:val="176"/>
          <w:tblCellSpacing w:w="20" w:type="dxa"/>
        </w:trPr>
        <w:tc>
          <w:tcPr>
            <w:tcW w:w="635" w:type="dxa"/>
            <w:shd w:val="clear" w:color="auto" w:fill="auto"/>
          </w:tcPr>
          <w:p w:rsidR="00C50645" w:rsidRPr="00350FC9" w:rsidRDefault="008E4C08" w:rsidP="00EA3B67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4</w:t>
            </w:r>
          </w:p>
        </w:tc>
        <w:tc>
          <w:tcPr>
            <w:tcW w:w="5502" w:type="dxa"/>
            <w:shd w:val="clear" w:color="auto" w:fill="auto"/>
          </w:tcPr>
          <w:p w:rsidR="00C50645" w:rsidRPr="00350FC9" w:rsidRDefault="00A92B40" w:rsidP="00EA3B67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Среднесписочная численность персонала</w:t>
            </w:r>
          </w:p>
        </w:tc>
        <w:tc>
          <w:tcPr>
            <w:tcW w:w="1661" w:type="dxa"/>
            <w:shd w:val="clear" w:color="auto" w:fill="auto"/>
          </w:tcPr>
          <w:p w:rsidR="00C50645" w:rsidRPr="00350FC9" w:rsidRDefault="00A92B40" w:rsidP="00EA3B67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чел.</w:t>
            </w:r>
          </w:p>
        </w:tc>
        <w:tc>
          <w:tcPr>
            <w:tcW w:w="2067" w:type="dxa"/>
            <w:shd w:val="clear" w:color="auto" w:fill="auto"/>
          </w:tcPr>
          <w:p w:rsidR="00C50645" w:rsidRPr="00350FC9" w:rsidRDefault="00D66990" w:rsidP="00877FD4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83</w:t>
            </w:r>
            <w:r w:rsidR="00877FD4" w:rsidRPr="00350FC9">
              <w:rPr>
                <w:sz w:val="22"/>
                <w:szCs w:val="22"/>
              </w:rPr>
              <w:t>6</w:t>
            </w:r>
          </w:p>
        </w:tc>
      </w:tr>
      <w:tr w:rsidR="009530AE" w:rsidRPr="00350FC9" w:rsidTr="00533E9D">
        <w:trPr>
          <w:trHeight w:val="196"/>
          <w:tblCellSpacing w:w="20" w:type="dxa"/>
        </w:trPr>
        <w:tc>
          <w:tcPr>
            <w:tcW w:w="635" w:type="dxa"/>
            <w:shd w:val="clear" w:color="auto" w:fill="auto"/>
          </w:tcPr>
          <w:p w:rsidR="00825020" w:rsidRPr="00350FC9" w:rsidRDefault="00C3588E" w:rsidP="00EA3B67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5</w:t>
            </w:r>
          </w:p>
        </w:tc>
        <w:tc>
          <w:tcPr>
            <w:tcW w:w="5502" w:type="dxa"/>
            <w:shd w:val="clear" w:color="auto" w:fill="auto"/>
          </w:tcPr>
          <w:p w:rsidR="00825020" w:rsidRPr="00350FC9" w:rsidRDefault="00A92B40" w:rsidP="00EA3B67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Доход от основной деятельности</w:t>
            </w:r>
          </w:p>
        </w:tc>
        <w:tc>
          <w:tcPr>
            <w:tcW w:w="1661" w:type="dxa"/>
            <w:shd w:val="clear" w:color="auto" w:fill="auto"/>
          </w:tcPr>
          <w:p w:rsidR="00825020" w:rsidRPr="00350FC9" w:rsidRDefault="00A92B40" w:rsidP="00EA3B67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350FC9">
              <w:rPr>
                <w:sz w:val="22"/>
                <w:szCs w:val="22"/>
              </w:rPr>
              <w:t>млн</w:t>
            </w:r>
            <w:proofErr w:type="gramStart"/>
            <w:r w:rsidRPr="00350FC9">
              <w:rPr>
                <w:sz w:val="22"/>
                <w:szCs w:val="22"/>
              </w:rPr>
              <w:t>.т</w:t>
            </w:r>
            <w:proofErr w:type="gramEnd"/>
            <w:r w:rsidRPr="00350FC9">
              <w:rPr>
                <w:sz w:val="22"/>
                <w:szCs w:val="22"/>
              </w:rPr>
              <w:t>енге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825020" w:rsidRPr="00350FC9" w:rsidRDefault="006B3D92" w:rsidP="00EA3B67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26 336,81</w:t>
            </w:r>
          </w:p>
        </w:tc>
      </w:tr>
      <w:tr w:rsidR="008D0EE2" w:rsidRPr="00350FC9" w:rsidTr="00533E9D">
        <w:trPr>
          <w:trHeight w:val="281"/>
          <w:tblCellSpacing w:w="20" w:type="dxa"/>
        </w:trPr>
        <w:tc>
          <w:tcPr>
            <w:tcW w:w="635" w:type="dxa"/>
            <w:shd w:val="clear" w:color="auto" w:fill="auto"/>
          </w:tcPr>
          <w:p w:rsidR="008D0EE2" w:rsidRPr="00350FC9" w:rsidRDefault="00C3588E" w:rsidP="00EA3B67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</w:t>
            </w:r>
          </w:p>
        </w:tc>
        <w:tc>
          <w:tcPr>
            <w:tcW w:w="5502" w:type="dxa"/>
            <w:shd w:val="clear" w:color="auto" w:fill="auto"/>
          </w:tcPr>
          <w:p w:rsidR="008D0EE2" w:rsidRPr="00350FC9" w:rsidRDefault="008D0EE2" w:rsidP="00EA3B67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Затраты (себестоимость, расходы периода)</w:t>
            </w:r>
          </w:p>
        </w:tc>
        <w:tc>
          <w:tcPr>
            <w:tcW w:w="1661" w:type="dxa"/>
            <w:shd w:val="clear" w:color="auto" w:fill="auto"/>
          </w:tcPr>
          <w:p w:rsidR="008D0EE2" w:rsidRPr="00350FC9" w:rsidRDefault="008D0EE2" w:rsidP="00EA3B67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350FC9">
              <w:rPr>
                <w:sz w:val="22"/>
                <w:szCs w:val="22"/>
              </w:rPr>
              <w:t>млн</w:t>
            </w:r>
            <w:proofErr w:type="gramStart"/>
            <w:r w:rsidRPr="00350FC9">
              <w:rPr>
                <w:sz w:val="22"/>
                <w:szCs w:val="22"/>
              </w:rPr>
              <w:t>.т</w:t>
            </w:r>
            <w:proofErr w:type="gramEnd"/>
            <w:r w:rsidRPr="00350FC9">
              <w:rPr>
                <w:sz w:val="22"/>
                <w:szCs w:val="22"/>
              </w:rPr>
              <w:t>енге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536D94" w:rsidRPr="00350FC9" w:rsidRDefault="00256760" w:rsidP="00BC634F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2</w:t>
            </w:r>
            <w:r w:rsidR="00BC634F" w:rsidRPr="00350FC9">
              <w:rPr>
                <w:sz w:val="22"/>
                <w:szCs w:val="22"/>
              </w:rPr>
              <w:t>3</w:t>
            </w:r>
            <w:r w:rsidR="000C044C" w:rsidRPr="00350FC9">
              <w:rPr>
                <w:sz w:val="22"/>
                <w:szCs w:val="22"/>
              </w:rPr>
              <w:t xml:space="preserve"> </w:t>
            </w:r>
            <w:r w:rsidR="00BC634F" w:rsidRPr="00350FC9">
              <w:rPr>
                <w:sz w:val="22"/>
                <w:szCs w:val="22"/>
              </w:rPr>
              <w:t>435</w:t>
            </w:r>
            <w:r w:rsidRPr="00350FC9">
              <w:rPr>
                <w:sz w:val="22"/>
                <w:szCs w:val="22"/>
              </w:rPr>
              <w:t>,</w:t>
            </w:r>
            <w:r w:rsidR="00BC634F" w:rsidRPr="00350FC9">
              <w:rPr>
                <w:sz w:val="22"/>
                <w:szCs w:val="22"/>
              </w:rPr>
              <w:t>90</w:t>
            </w:r>
          </w:p>
        </w:tc>
      </w:tr>
      <w:tr w:rsidR="009530AE" w:rsidRPr="00350FC9" w:rsidTr="00533E9D">
        <w:trPr>
          <w:trHeight w:val="196"/>
          <w:tblCellSpacing w:w="20" w:type="dxa"/>
        </w:trPr>
        <w:tc>
          <w:tcPr>
            <w:tcW w:w="635" w:type="dxa"/>
            <w:shd w:val="clear" w:color="auto" w:fill="auto"/>
          </w:tcPr>
          <w:p w:rsidR="009530AE" w:rsidRPr="00350FC9" w:rsidRDefault="00C3588E" w:rsidP="00EA3B67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7</w:t>
            </w:r>
          </w:p>
        </w:tc>
        <w:tc>
          <w:tcPr>
            <w:tcW w:w="5502" w:type="dxa"/>
            <w:shd w:val="clear" w:color="auto" w:fill="auto"/>
          </w:tcPr>
          <w:p w:rsidR="009530AE" w:rsidRPr="00350FC9" w:rsidRDefault="008D0EE2" w:rsidP="00EA3B67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350FC9">
              <w:rPr>
                <w:sz w:val="22"/>
                <w:szCs w:val="22"/>
              </w:rPr>
              <w:t>Фин</w:t>
            </w:r>
            <w:proofErr w:type="gramStart"/>
            <w:r w:rsidRPr="00350FC9">
              <w:rPr>
                <w:sz w:val="22"/>
                <w:szCs w:val="22"/>
              </w:rPr>
              <w:t>.р</w:t>
            </w:r>
            <w:proofErr w:type="gramEnd"/>
            <w:r w:rsidRPr="00350FC9">
              <w:rPr>
                <w:sz w:val="22"/>
                <w:szCs w:val="22"/>
              </w:rPr>
              <w:t>езультат</w:t>
            </w:r>
            <w:proofErr w:type="spellEnd"/>
            <w:r w:rsidRPr="00350FC9">
              <w:rPr>
                <w:sz w:val="22"/>
                <w:szCs w:val="22"/>
              </w:rPr>
              <w:t xml:space="preserve"> от основной деятельности</w:t>
            </w:r>
            <w:r w:rsidR="00B82B3E" w:rsidRPr="00350FC9">
              <w:rPr>
                <w:sz w:val="22"/>
                <w:szCs w:val="22"/>
              </w:rPr>
              <w:t xml:space="preserve"> (по предв</w:t>
            </w:r>
            <w:r w:rsidR="004A68F7" w:rsidRPr="00350FC9">
              <w:rPr>
                <w:sz w:val="22"/>
                <w:szCs w:val="22"/>
              </w:rPr>
              <w:t xml:space="preserve">арительным </w:t>
            </w:r>
            <w:r w:rsidR="00B82B3E" w:rsidRPr="00350FC9">
              <w:rPr>
                <w:sz w:val="22"/>
                <w:szCs w:val="22"/>
              </w:rPr>
              <w:t>данным)</w:t>
            </w:r>
          </w:p>
        </w:tc>
        <w:tc>
          <w:tcPr>
            <w:tcW w:w="1661" w:type="dxa"/>
            <w:shd w:val="clear" w:color="auto" w:fill="auto"/>
          </w:tcPr>
          <w:p w:rsidR="009530AE" w:rsidRPr="00350FC9" w:rsidRDefault="008D0EE2" w:rsidP="00EA3B67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350FC9">
              <w:rPr>
                <w:sz w:val="22"/>
                <w:szCs w:val="22"/>
              </w:rPr>
              <w:t>млн</w:t>
            </w:r>
            <w:proofErr w:type="gramStart"/>
            <w:r w:rsidRPr="00350FC9">
              <w:rPr>
                <w:sz w:val="22"/>
                <w:szCs w:val="22"/>
              </w:rPr>
              <w:t>.т</w:t>
            </w:r>
            <w:proofErr w:type="gramEnd"/>
            <w:r w:rsidRPr="00350FC9">
              <w:rPr>
                <w:sz w:val="22"/>
                <w:szCs w:val="22"/>
              </w:rPr>
              <w:t>енге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9530AE" w:rsidRPr="00350FC9" w:rsidRDefault="00BC634F" w:rsidP="00EA3B67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2900,91</w:t>
            </w:r>
          </w:p>
        </w:tc>
      </w:tr>
      <w:tr w:rsidR="009530AE" w:rsidRPr="00350FC9" w:rsidTr="00533E9D">
        <w:trPr>
          <w:trHeight w:val="176"/>
          <w:tblCellSpacing w:w="20" w:type="dxa"/>
        </w:trPr>
        <w:tc>
          <w:tcPr>
            <w:tcW w:w="635" w:type="dxa"/>
            <w:shd w:val="clear" w:color="auto" w:fill="auto"/>
          </w:tcPr>
          <w:p w:rsidR="009530AE" w:rsidRPr="00350FC9" w:rsidRDefault="00C3588E" w:rsidP="00EA3B67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8</w:t>
            </w:r>
          </w:p>
        </w:tc>
        <w:tc>
          <w:tcPr>
            <w:tcW w:w="5502" w:type="dxa"/>
            <w:shd w:val="clear" w:color="auto" w:fill="auto"/>
          </w:tcPr>
          <w:p w:rsidR="009530AE" w:rsidRPr="00350FC9" w:rsidRDefault="008D0EE2" w:rsidP="00EA3B67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350FC9">
              <w:rPr>
                <w:sz w:val="22"/>
                <w:szCs w:val="22"/>
              </w:rPr>
              <w:t>Фин</w:t>
            </w:r>
            <w:proofErr w:type="gramStart"/>
            <w:r w:rsidRPr="00350FC9">
              <w:rPr>
                <w:sz w:val="22"/>
                <w:szCs w:val="22"/>
              </w:rPr>
              <w:t>.р</w:t>
            </w:r>
            <w:proofErr w:type="gramEnd"/>
            <w:r w:rsidRPr="00350FC9">
              <w:rPr>
                <w:sz w:val="22"/>
                <w:szCs w:val="22"/>
              </w:rPr>
              <w:t>езультат</w:t>
            </w:r>
            <w:proofErr w:type="spellEnd"/>
            <w:r w:rsidRPr="00350FC9">
              <w:rPr>
                <w:sz w:val="22"/>
                <w:szCs w:val="22"/>
              </w:rPr>
              <w:t xml:space="preserve"> от реализации тепловой энергии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9530AE" w:rsidRPr="00350FC9" w:rsidRDefault="008D0EE2" w:rsidP="00EA3B67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350FC9">
              <w:rPr>
                <w:sz w:val="22"/>
                <w:szCs w:val="22"/>
              </w:rPr>
              <w:t>млн</w:t>
            </w:r>
            <w:proofErr w:type="gramStart"/>
            <w:r w:rsidRPr="00350FC9">
              <w:rPr>
                <w:sz w:val="22"/>
                <w:szCs w:val="22"/>
              </w:rPr>
              <w:t>.т</w:t>
            </w:r>
            <w:proofErr w:type="gramEnd"/>
            <w:r w:rsidRPr="00350FC9">
              <w:rPr>
                <w:sz w:val="22"/>
                <w:szCs w:val="22"/>
              </w:rPr>
              <w:t>енге</w:t>
            </w:r>
            <w:proofErr w:type="spellEnd"/>
          </w:p>
        </w:tc>
        <w:tc>
          <w:tcPr>
            <w:tcW w:w="2067" w:type="dxa"/>
            <w:shd w:val="clear" w:color="auto" w:fill="auto"/>
            <w:vAlign w:val="center"/>
          </w:tcPr>
          <w:p w:rsidR="009530AE" w:rsidRPr="00350FC9" w:rsidRDefault="009E1B28" w:rsidP="00BC634F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-</w:t>
            </w:r>
            <w:r w:rsidR="00BC634F" w:rsidRPr="00350FC9">
              <w:rPr>
                <w:sz w:val="22"/>
                <w:szCs w:val="22"/>
              </w:rPr>
              <w:t>1254,7</w:t>
            </w:r>
          </w:p>
        </w:tc>
      </w:tr>
    </w:tbl>
    <w:p w:rsidR="006771C8" w:rsidRPr="00350FC9" w:rsidRDefault="006771C8" w:rsidP="00EA3B67">
      <w:pPr>
        <w:ind w:firstLine="567"/>
        <w:jc w:val="both"/>
        <w:rPr>
          <w:sz w:val="22"/>
          <w:szCs w:val="22"/>
        </w:rPr>
      </w:pPr>
    </w:p>
    <w:p w:rsidR="002A726C" w:rsidRPr="00350FC9" w:rsidRDefault="00A63862" w:rsidP="00EA3B67">
      <w:pPr>
        <w:ind w:firstLine="567"/>
        <w:jc w:val="both"/>
        <w:rPr>
          <w:bCs/>
          <w:kern w:val="2"/>
          <w:sz w:val="22"/>
          <w:szCs w:val="22"/>
        </w:rPr>
      </w:pPr>
      <w:r w:rsidRPr="00350FC9">
        <w:rPr>
          <w:bCs/>
          <w:kern w:val="2"/>
          <w:sz w:val="22"/>
          <w:szCs w:val="22"/>
        </w:rPr>
        <w:lastRenderedPageBreak/>
        <w:t>За 201</w:t>
      </w:r>
      <w:r w:rsidR="00BC634F" w:rsidRPr="00350FC9">
        <w:rPr>
          <w:bCs/>
          <w:kern w:val="2"/>
          <w:sz w:val="22"/>
          <w:szCs w:val="22"/>
        </w:rPr>
        <w:t>8</w:t>
      </w:r>
      <w:r w:rsidRPr="00350FC9">
        <w:rPr>
          <w:bCs/>
          <w:kern w:val="2"/>
          <w:sz w:val="22"/>
          <w:szCs w:val="22"/>
        </w:rPr>
        <w:t xml:space="preserve"> год объем тепловой энергии, отпущенной с коллекторов составил </w:t>
      </w:r>
      <w:r w:rsidR="009277F8" w:rsidRPr="00350FC9">
        <w:rPr>
          <w:sz w:val="22"/>
          <w:szCs w:val="22"/>
        </w:rPr>
        <w:t>1</w:t>
      </w:r>
      <w:r w:rsidR="005D44B6">
        <w:rPr>
          <w:sz w:val="22"/>
          <w:szCs w:val="22"/>
        </w:rPr>
        <w:t> </w:t>
      </w:r>
      <w:r w:rsidR="00FA0658" w:rsidRPr="00350FC9">
        <w:rPr>
          <w:sz w:val="22"/>
          <w:szCs w:val="22"/>
        </w:rPr>
        <w:t>8</w:t>
      </w:r>
      <w:r w:rsidR="005D44B6">
        <w:rPr>
          <w:sz w:val="22"/>
          <w:szCs w:val="22"/>
        </w:rPr>
        <w:t>92,8</w:t>
      </w:r>
      <w:r w:rsidR="00FA0658" w:rsidRPr="00350FC9">
        <w:rPr>
          <w:sz w:val="22"/>
          <w:szCs w:val="22"/>
        </w:rPr>
        <w:t>1</w:t>
      </w:r>
      <w:r w:rsidRPr="00350FC9">
        <w:rPr>
          <w:bCs/>
          <w:kern w:val="2"/>
          <w:sz w:val="22"/>
          <w:szCs w:val="22"/>
        </w:rPr>
        <w:t xml:space="preserve"> тыс. Гкал, что на </w:t>
      </w:r>
      <w:r w:rsidR="005D44B6">
        <w:rPr>
          <w:bCs/>
          <w:kern w:val="2"/>
          <w:sz w:val="22"/>
          <w:szCs w:val="22"/>
        </w:rPr>
        <w:t>88</w:t>
      </w:r>
      <w:r w:rsidR="00FA0658" w:rsidRPr="00350FC9">
        <w:rPr>
          <w:bCs/>
          <w:kern w:val="2"/>
          <w:sz w:val="22"/>
          <w:szCs w:val="22"/>
        </w:rPr>
        <w:t>,</w:t>
      </w:r>
      <w:r w:rsidR="005D44B6">
        <w:rPr>
          <w:bCs/>
          <w:kern w:val="2"/>
          <w:sz w:val="22"/>
          <w:szCs w:val="22"/>
        </w:rPr>
        <w:t>9</w:t>
      </w:r>
      <w:r w:rsidR="00FA0658" w:rsidRPr="00350FC9">
        <w:rPr>
          <w:bCs/>
          <w:kern w:val="2"/>
          <w:sz w:val="22"/>
          <w:szCs w:val="22"/>
        </w:rPr>
        <w:t>4</w:t>
      </w:r>
      <w:r w:rsidRPr="00350FC9">
        <w:rPr>
          <w:bCs/>
          <w:kern w:val="2"/>
          <w:sz w:val="22"/>
          <w:szCs w:val="22"/>
        </w:rPr>
        <w:t xml:space="preserve"> </w:t>
      </w:r>
      <w:proofErr w:type="spellStart"/>
      <w:r w:rsidRPr="00350FC9">
        <w:rPr>
          <w:bCs/>
          <w:kern w:val="2"/>
          <w:sz w:val="22"/>
          <w:szCs w:val="22"/>
        </w:rPr>
        <w:t>тыс</w:t>
      </w:r>
      <w:proofErr w:type="gramStart"/>
      <w:r w:rsidRPr="00350FC9">
        <w:rPr>
          <w:bCs/>
          <w:kern w:val="2"/>
          <w:sz w:val="22"/>
          <w:szCs w:val="22"/>
        </w:rPr>
        <w:t>.Г</w:t>
      </w:r>
      <w:proofErr w:type="gramEnd"/>
      <w:r w:rsidRPr="00350FC9">
        <w:rPr>
          <w:bCs/>
          <w:kern w:val="2"/>
          <w:sz w:val="22"/>
          <w:szCs w:val="22"/>
        </w:rPr>
        <w:t>кал</w:t>
      </w:r>
      <w:proofErr w:type="spellEnd"/>
      <w:r w:rsidRPr="00350FC9">
        <w:rPr>
          <w:bCs/>
          <w:kern w:val="2"/>
          <w:sz w:val="22"/>
          <w:szCs w:val="22"/>
        </w:rPr>
        <w:t xml:space="preserve"> или </w:t>
      </w:r>
      <w:r w:rsidR="00FA0658" w:rsidRPr="00350FC9">
        <w:rPr>
          <w:bCs/>
          <w:kern w:val="2"/>
          <w:sz w:val="22"/>
          <w:szCs w:val="22"/>
        </w:rPr>
        <w:t>4</w:t>
      </w:r>
      <w:r w:rsidR="005D44B6">
        <w:rPr>
          <w:bCs/>
          <w:kern w:val="2"/>
          <w:sz w:val="22"/>
          <w:szCs w:val="22"/>
        </w:rPr>
        <w:t>,9</w:t>
      </w:r>
      <w:r w:rsidRPr="00350FC9">
        <w:rPr>
          <w:bCs/>
          <w:kern w:val="2"/>
          <w:sz w:val="22"/>
          <w:szCs w:val="22"/>
        </w:rPr>
        <w:t>% выше утвержденного тарифной сметой. Объём электрической энергии отпущенной с шин, составил 2 </w:t>
      </w:r>
      <w:r w:rsidR="00FA0658" w:rsidRPr="00350FC9">
        <w:rPr>
          <w:bCs/>
          <w:kern w:val="2"/>
          <w:sz w:val="22"/>
          <w:szCs w:val="22"/>
        </w:rPr>
        <w:t>840</w:t>
      </w:r>
      <w:r w:rsidRPr="00350FC9">
        <w:rPr>
          <w:bCs/>
          <w:kern w:val="2"/>
          <w:sz w:val="22"/>
          <w:szCs w:val="22"/>
        </w:rPr>
        <w:t>,</w:t>
      </w:r>
      <w:r w:rsidR="00FA0658" w:rsidRPr="00350FC9">
        <w:rPr>
          <w:bCs/>
          <w:kern w:val="2"/>
          <w:sz w:val="22"/>
          <w:szCs w:val="22"/>
        </w:rPr>
        <w:t>996</w:t>
      </w:r>
      <w:r w:rsidRPr="00350FC9">
        <w:rPr>
          <w:bCs/>
          <w:kern w:val="2"/>
          <w:sz w:val="22"/>
          <w:szCs w:val="22"/>
        </w:rPr>
        <w:t xml:space="preserve"> млн. </w:t>
      </w:r>
      <w:proofErr w:type="spellStart"/>
      <w:r w:rsidRPr="00350FC9">
        <w:rPr>
          <w:bCs/>
          <w:kern w:val="2"/>
          <w:sz w:val="22"/>
          <w:szCs w:val="22"/>
        </w:rPr>
        <w:t>кВтч</w:t>
      </w:r>
      <w:proofErr w:type="spellEnd"/>
      <w:r w:rsidRPr="00350FC9">
        <w:rPr>
          <w:bCs/>
          <w:kern w:val="2"/>
          <w:sz w:val="22"/>
          <w:szCs w:val="22"/>
        </w:rPr>
        <w:t>. Качество отпускаемой тепловой энергии соответствует утвержденному температурному графику.</w:t>
      </w:r>
    </w:p>
    <w:p w:rsidR="00A63862" w:rsidRPr="00350FC9" w:rsidRDefault="00A63862" w:rsidP="00EA3B67">
      <w:pPr>
        <w:ind w:firstLine="567"/>
        <w:jc w:val="both"/>
        <w:rPr>
          <w:bCs/>
          <w:kern w:val="2"/>
          <w:sz w:val="22"/>
          <w:szCs w:val="22"/>
        </w:rPr>
      </w:pPr>
      <w:proofErr w:type="gramStart"/>
      <w:r w:rsidRPr="00350FC9">
        <w:rPr>
          <w:bCs/>
          <w:kern w:val="2"/>
          <w:sz w:val="22"/>
          <w:szCs w:val="22"/>
        </w:rPr>
        <w:t>В целях совершенствования производственных процессов в АО «СЕВКАЗЭНЕРГО» ведется реализация инвестиционной программы в рамках утвержденной тарифной сметы, которой предусмотрен ряд крупномасштабных мероприятий по модернизации оборудования</w:t>
      </w:r>
      <w:r w:rsidRPr="00574C9B">
        <w:rPr>
          <w:bCs/>
          <w:kern w:val="2"/>
          <w:sz w:val="22"/>
          <w:szCs w:val="22"/>
        </w:rPr>
        <w:t xml:space="preserve">, направленных </w:t>
      </w:r>
      <w:r w:rsidR="009D2D2C" w:rsidRPr="009D2D2C">
        <w:rPr>
          <w:sz w:val="22"/>
          <w:szCs w:val="22"/>
        </w:rPr>
        <w:t>на обновление, поддержку, реконструкцию и техническое перевооружение существующих активов электростанции</w:t>
      </w:r>
      <w:r w:rsidRPr="009D2D2C">
        <w:rPr>
          <w:bCs/>
          <w:kern w:val="2"/>
          <w:sz w:val="22"/>
          <w:szCs w:val="22"/>
        </w:rPr>
        <w:t>, снижение потерь при передаче тепло и электроэнергии, в том числе</w:t>
      </w:r>
      <w:r w:rsidRPr="00350FC9">
        <w:rPr>
          <w:bCs/>
          <w:kern w:val="2"/>
          <w:sz w:val="22"/>
          <w:szCs w:val="22"/>
        </w:rPr>
        <w:t xml:space="preserve"> совершенствование экологических параметров деятельности предприятия.</w:t>
      </w:r>
      <w:proofErr w:type="gramEnd"/>
      <w:r w:rsidRPr="00350FC9">
        <w:rPr>
          <w:bCs/>
          <w:kern w:val="2"/>
          <w:sz w:val="22"/>
          <w:szCs w:val="22"/>
        </w:rPr>
        <w:t xml:space="preserve"> Объём инвестиций согласно </w:t>
      </w:r>
      <w:r w:rsidR="004D2EA5" w:rsidRPr="00350FC9">
        <w:rPr>
          <w:bCs/>
          <w:kern w:val="2"/>
          <w:sz w:val="22"/>
          <w:szCs w:val="22"/>
        </w:rPr>
        <w:t>утвержденной инвестиционной программе на 201</w:t>
      </w:r>
      <w:r w:rsidR="00FA0658" w:rsidRPr="00350FC9">
        <w:rPr>
          <w:bCs/>
          <w:kern w:val="2"/>
          <w:sz w:val="22"/>
          <w:szCs w:val="22"/>
        </w:rPr>
        <w:t>8</w:t>
      </w:r>
      <w:r w:rsidRPr="00350FC9">
        <w:rPr>
          <w:bCs/>
          <w:kern w:val="2"/>
          <w:sz w:val="22"/>
          <w:szCs w:val="22"/>
        </w:rPr>
        <w:t xml:space="preserve"> год составил </w:t>
      </w:r>
      <w:r w:rsidR="004D2EA5" w:rsidRPr="00350FC9">
        <w:rPr>
          <w:bCs/>
          <w:kern w:val="2"/>
          <w:sz w:val="22"/>
          <w:szCs w:val="22"/>
        </w:rPr>
        <w:t>7</w:t>
      </w:r>
      <w:r w:rsidR="00FA0658" w:rsidRPr="00350FC9">
        <w:rPr>
          <w:bCs/>
          <w:kern w:val="2"/>
          <w:sz w:val="22"/>
          <w:szCs w:val="22"/>
        </w:rPr>
        <w:t xml:space="preserve">80,5 </w:t>
      </w:r>
      <w:r w:rsidRPr="00350FC9">
        <w:rPr>
          <w:bCs/>
          <w:kern w:val="2"/>
          <w:sz w:val="22"/>
          <w:szCs w:val="22"/>
        </w:rPr>
        <w:t>млн. тенге. Фактическое исполнение по итогам года составило 5</w:t>
      </w:r>
      <w:r w:rsidR="004D2EA5" w:rsidRPr="00350FC9">
        <w:rPr>
          <w:bCs/>
          <w:kern w:val="2"/>
          <w:sz w:val="22"/>
          <w:szCs w:val="22"/>
        </w:rPr>
        <w:t>5</w:t>
      </w:r>
      <w:r w:rsidR="00CA2B45" w:rsidRPr="00350FC9">
        <w:rPr>
          <w:bCs/>
          <w:kern w:val="2"/>
          <w:sz w:val="22"/>
          <w:szCs w:val="22"/>
        </w:rPr>
        <w:t xml:space="preserve">0,2 </w:t>
      </w:r>
      <w:r w:rsidRPr="00350FC9">
        <w:rPr>
          <w:bCs/>
          <w:kern w:val="2"/>
          <w:sz w:val="22"/>
          <w:szCs w:val="22"/>
        </w:rPr>
        <w:t xml:space="preserve"> млн. тенге, </w:t>
      </w:r>
      <w:r w:rsidR="004D2EA5" w:rsidRPr="00350FC9">
        <w:rPr>
          <w:bCs/>
          <w:kern w:val="2"/>
          <w:sz w:val="22"/>
          <w:szCs w:val="22"/>
        </w:rPr>
        <w:t>данные средства были направлены на реконструкци</w:t>
      </w:r>
      <w:r w:rsidR="00FA0658" w:rsidRPr="00350FC9">
        <w:rPr>
          <w:bCs/>
          <w:kern w:val="2"/>
          <w:sz w:val="22"/>
          <w:szCs w:val="22"/>
        </w:rPr>
        <w:t>ю</w:t>
      </w:r>
      <w:r w:rsidR="004D2EA5" w:rsidRPr="00350FC9">
        <w:rPr>
          <w:bCs/>
          <w:kern w:val="2"/>
          <w:sz w:val="22"/>
          <w:szCs w:val="22"/>
        </w:rPr>
        <w:t xml:space="preserve"> схемы выдачи тепловой мощности.</w:t>
      </w:r>
    </w:p>
    <w:p w:rsidR="00A63862" w:rsidRPr="00350FC9" w:rsidRDefault="00A63862" w:rsidP="00EA3B67">
      <w:pPr>
        <w:ind w:firstLine="567"/>
        <w:jc w:val="both"/>
        <w:rPr>
          <w:bCs/>
          <w:kern w:val="2"/>
          <w:sz w:val="22"/>
          <w:szCs w:val="22"/>
        </w:rPr>
      </w:pPr>
      <w:r w:rsidRPr="00350FC9">
        <w:rPr>
          <w:bCs/>
          <w:kern w:val="2"/>
          <w:sz w:val="22"/>
          <w:szCs w:val="22"/>
        </w:rPr>
        <w:t xml:space="preserve">Данные мероприятий осуществлялись только за счет амортизационных отчислений предусмотренных тарифной сметой, так как предприятием от реализации услуг по </w:t>
      </w:r>
      <w:r w:rsidR="00571D8F" w:rsidRPr="00350FC9">
        <w:rPr>
          <w:bCs/>
          <w:kern w:val="2"/>
          <w:sz w:val="22"/>
          <w:szCs w:val="22"/>
        </w:rPr>
        <w:t>производству</w:t>
      </w:r>
      <w:r w:rsidRPr="00350FC9">
        <w:rPr>
          <w:bCs/>
          <w:kern w:val="2"/>
          <w:sz w:val="22"/>
          <w:szCs w:val="22"/>
        </w:rPr>
        <w:t xml:space="preserve"> тепловой энергией получен убыток.</w:t>
      </w:r>
    </w:p>
    <w:p w:rsidR="002C12C7" w:rsidRPr="00350FC9" w:rsidRDefault="002C12C7" w:rsidP="002C12C7">
      <w:pPr>
        <w:ind w:firstLine="567"/>
        <w:jc w:val="both"/>
        <w:rPr>
          <w:sz w:val="22"/>
          <w:szCs w:val="22"/>
        </w:rPr>
      </w:pPr>
      <w:r w:rsidRPr="00350FC9">
        <w:rPr>
          <w:kern w:val="2"/>
          <w:sz w:val="22"/>
          <w:szCs w:val="22"/>
        </w:rPr>
        <w:t>Помимо капитальных вложений на предприятии ведется ремонтная кампания, согласованная с уполномоченным органом в размере 1 542,6 млн. тенге. Фактические затраты на проведение которой составили 1 515,1 млн. тенге (98,2%).</w:t>
      </w:r>
      <w:r w:rsidRPr="00350FC9">
        <w:rPr>
          <w:b/>
          <w:bCs/>
          <w:kern w:val="2"/>
          <w:sz w:val="22"/>
          <w:szCs w:val="22"/>
        </w:rPr>
        <w:t xml:space="preserve"> </w:t>
      </w:r>
      <w:r w:rsidRPr="00350FC9">
        <w:rPr>
          <w:bCs/>
          <w:kern w:val="2"/>
          <w:sz w:val="22"/>
          <w:szCs w:val="22"/>
        </w:rPr>
        <w:t>Объем ремонтных работ в физических единицах выполнен в полном объеме. Основными мероприятиями, из которых являются:</w:t>
      </w:r>
    </w:p>
    <w:p w:rsidR="002C12C7" w:rsidRPr="00350FC9" w:rsidRDefault="002C12C7" w:rsidP="002C12C7">
      <w:pPr>
        <w:numPr>
          <w:ilvl w:val="0"/>
          <w:numId w:val="6"/>
        </w:numPr>
        <w:ind w:left="567" w:hanging="283"/>
        <w:jc w:val="both"/>
        <w:rPr>
          <w:bCs/>
          <w:kern w:val="2"/>
          <w:sz w:val="22"/>
          <w:szCs w:val="22"/>
        </w:rPr>
      </w:pPr>
      <w:r w:rsidRPr="00350FC9">
        <w:rPr>
          <w:sz w:val="22"/>
          <w:szCs w:val="22"/>
        </w:rPr>
        <w:t xml:space="preserve">текущие ремонты </w:t>
      </w:r>
      <w:proofErr w:type="gramStart"/>
      <w:r w:rsidRPr="00350FC9">
        <w:rPr>
          <w:sz w:val="22"/>
          <w:szCs w:val="22"/>
        </w:rPr>
        <w:t>к</w:t>
      </w:r>
      <w:proofErr w:type="gramEnd"/>
      <w:r w:rsidRPr="00350FC9">
        <w:rPr>
          <w:sz w:val="22"/>
          <w:szCs w:val="22"/>
        </w:rPr>
        <w:t>/а № 1, 2, 3, 4, 5, 6, 7, 9, 10, 12;</w:t>
      </w:r>
    </w:p>
    <w:p w:rsidR="002C12C7" w:rsidRPr="00350FC9" w:rsidRDefault="002C12C7" w:rsidP="002C12C7">
      <w:pPr>
        <w:numPr>
          <w:ilvl w:val="0"/>
          <w:numId w:val="6"/>
        </w:numPr>
        <w:ind w:left="567" w:hanging="283"/>
        <w:jc w:val="both"/>
        <w:rPr>
          <w:bCs/>
          <w:kern w:val="2"/>
          <w:sz w:val="22"/>
          <w:szCs w:val="22"/>
        </w:rPr>
      </w:pPr>
      <w:r w:rsidRPr="00350FC9">
        <w:rPr>
          <w:sz w:val="22"/>
          <w:szCs w:val="22"/>
        </w:rPr>
        <w:t>текущие ремонты т/а № 1, 2, 4, 5, 6, 7;</w:t>
      </w:r>
    </w:p>
    <w:p w:rsidR="002C12C7" w:rsidRPr="00350FC9" w:rsidRDefault="002C12C7" w:rsidP="002C12C7">
      <w:pPr>
        <w:numPr>
          <w:ilvl w:val="0"/>
          <w:numId w:val="6"/>
        </w:numPr>
        <w:ind w:left="567" w:hanging="283"/>
        <w:jc w:val="both"/>
        <w:rPr>
          <w:bCs/>
          <w:kern w:val="2"/>
          <w:sz w:val="22"/>
          <w:szCs w:val="22"/>
        </w:rPr>
      </w:pPr>
      <w:r w:rsidRPr="00350FC9">
        <w:rPr>
          <w:sz w:val="22"/>
          <w:szCs w:val="22"/>
        </w:rPr>
        <w:t xml:space="preserve">капитальный ремонт </w:t>
      </w:r>
      <w:proofErr w:type="gramStart"/>
      <w:r w:rsidRPr="00350FC9">
        <w:rPr>
          <w:sz w:val="22"/>
          <w:szCs w:val="22"/>
        </w:rPr>
        <w:t>к</w:t>
      </w:r>
      <w:proofErr w:type="gramEnd"/>
      <w:r w:rsidRPr="00350FC9">
        <w:rPr>
          <w:sz w:val="22"/>
          <w:szCs w:val="22"/>
        </w:rPr>
        <w:t>/а № 8, 10, 11;</w:t>
      </w:r>
    </w:p>
    <w:p w:rsidR="002C12C7" w:rsidRPr="00350FC9" w:rsidRDefault="002C12C7" w:rsidP="002C12C7">
      <w:pPr>
        <w:numPr>
          <w:ilvl w:val="0"/>
          <w:numId w:val="6"/>
        </w:numPr>
        <w:ind w:left="567" w:hanging="283"/>
        <w:jc w:val="both"/>
        <w:rPr>
          <w:bCs/>
          <w:kern w:val="2"/>
          <w:sz w:val="22"/>
          <w:szCs w:val="22"/>
        </w:rPr>
      </w:pPr>
      <w:r w:rsidRPr="00350FC9">
        <w:rPr>
          <w:sz w:val="22"/>
          <w:szCs w:val="22"/>
        </w:rPr>
        <w:t>капитальный ремонт т/а № 3.</w:t>
      </w:r>
    </w:p>
    <w:p w:rsidR="00A63862" w:rsidRPr="00350FC9" w:rsidRDefault="00A63862" w:rsidP="00EA3B67">
      <w:pPr>
        <w:ind w:firstLine="567"/>
        <w:jc w:val="both"/>
        <w:rPr>
          <w:bCs/>
          <w:kern w:val="2"/>
          <w:sz w:val="22"/>
          <w:szCs w:val="22"/>
        </w:rPr>
      </w:pPr>
      <w:r w:rsidRPr="00350FC9">
        <w:rPr>
          <w:bCs/>
          <w:kern w:val="2"/>
          <w:sz w:val="22"/>
          <w:szCs w:val="22"/>
        </w:rPr>
        <w:t xml:space="preserve">Кроме средств, предусмотренных тарифной сметой по тепловой энергии, на реконструкцию и модернизацию основного оборудования направлены </w:t>
      </w:r>
      <w:proofErr w:type="gramStart"/>
      <w:r w:rsidRPr="00350FC9">
        <w:rPr>
          <w:bCs/>
          <w:kern w:val="2"/>
          <w:sz w:val="22"/>
          <w:szCs w:val="22"/>
        </w:rPr>
        <w:t>средства</w:t>
      </w:r>
      <w:proofErr w:type="gramEnd"/>
      <w:r w:rsidRPr="00350FC9">
        <w:rPr>
          <w:bCs/>
          <w:kern w:val="2"/>
          <w:sz w:val="22"/>
          <w:szCs w:val="22"/>
        </w:rPr>
        <w:t xml:space="preserve"> предусмотренные инвестиционной программой по электроэнергии.</w:t>
      </w:r>
    </w:p>
    <w:p w:rsidR="00EC30FF" w:rsidRPr="00350FC9" w:rsidRDefault="00EC30FF" w:rsidP="00EA3B67">
      <w:pPr>
        <w:ind w:firstLine="567"/>
        <w:jc w:val="both"/>
        <w:rPr>
          <w:bCs/>
          <w:kern w:val="2"/>
          <w:sz w:val="22"/>
          <w:szCs w:val="22"/>
        </w:rPr>
      </w:pPr>
    </w:p>
    <w:p w:rsidR="00405F9D" w:rsidRPr="00350FC9" w:rsidRDefault="00A71745" w:rsidP="00EA3B67">
      <w:pPr>
        <w:jc w:val="both"/>
        <w:rPr>
          <w:bCs/>
          <w:kern w:val="2"/>
          <w:sz w:val="22"/>
          <w:szCs w:val="22"/>
        </w:rPr>
      </w:pPr>
      <w:r w:rsidRPr="00350FC9">
        <w:rPr>
          <w:noProof/>
        </w:rPr>
        <w:drawing>
          <wp:inline distT="0" distB="0" distL="0" distR="0" wp14:anchorId="2F4EE218" wp14:editId="0044915B">
            <wp:extent cx="6410325" cy="32956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05F9D" w:rsidRPr="00350FC9" w:rsidRDefault="00405F9D" w:rsidP="00EA3B67">
      <w:pPr>
        <w:ind w:firstLine="567"/>
        <w:jc w:val="both"/>
        <w:rPr>
          <w:bCs/>
          <w:kern w:val="2"/>
          <w:sz w:val="22"/>
          <w:szCs w:val="22"/>
        </w:rPr>
      </w:pPr>
    </w:p>
    <w:p w:rsidR="008F74C5" w:rsidRPr="00350FC9" w:rsidRDefault="00A17CA7" w:rsidP="00EA3B67">
      <w:pPr>
        <w:ind w:firstLine="567"/>
        <w:jc w:val="both"/>
        <w:rPr>
          <w:kern w:val="2"/>
          <w:sz w:val="22"/>
          <w:szCs w:val="22"/>
        </w:rPr>
      </w:pPr>
      <w:r w:rsidRPr="00350FC9">
        <w:rPr>
          <w:kern w:val="2"/>
          <w:sz w:val="22"/>
          <w:szCs w:val="22"/>
        </w:rPr>
        <w:t>Затраты п</w:t>
      </w:r>
      <w:r w:rsidR="001516E5" w:rsidRPr="00350FC9">
        <w:rPr>
          <w:kern w:val="2"/>
          <w:sz w:val="22"/>
          <w:szCs w:val="22"/>
        </w:rPr>
        <w:t>редусмотренн</w:t>
      </w:r>
      <w:r w:rsidRPr="00350FC9">
        <w:rPr>
          <w:kern w:val="2"/>
          <w:sz w:val="22"/>
          <w:szCs w:val="22"/>
        </w:rPr>
        <w:t>ые</w:t>
      </w:r>
      <w:r w:rsidR="001516E5" w:rsidRPr="00350FC9">
        <w:rPr>
          <w:kern w:val="2"/>
          <w:sz w:val="22"/>
          <w:szCs w:val="22"/>
        </w:rPr>
        <w:t xml:space="preserve"> тарифной сметой на производство тепловой энергии</w:t>
      </w:r>
      <w:r w:rsidRPr="00350FC9">
        <w:rPr>
          <w:kern w:val="2"/>
          <w:sz w:val="22"/>
          <w:szCs w:val="22"/>
        </w:rPr>
        <w:t xml:space="preserve"> в 201</w:t>
      </w:r>
      <w:r w:rsidR="00FE0FAF" w:rsidRPr="00350FC9">
        <w:rPr>
          <w:kern w:val="2"/>
          <w:sz w:val="22"/>
          <w:szCs w:val="22"/>
        </w:rPr>
        <w:t>8</w:t>
      </w:r>
      <w:r w:rsidRPr="00350FC9">
        <w:rPr>
          <w:kern w:val="2"/>
          <w:sz w:val="22"/>
          <w:szCs w:val="22"/>
        </w:rPr>
        <w:t xml:space="preserve"> году составляют</w:t>
      </w:r>
      <w:r w:rsidR="001516E5" w:rsidRPr="00350FC9">
        <w:rPr>
          <w:kern w:val="2"/>
          <w:sz w:val="22"/>
          <w:szCs w:val="22"/>
        </w:rPr>
        <w:t xml:space="preserve"> </w:t>
      </w:r>
      <w:r w:rsidR="004A2517" w:rsidRPr="00350FC9">
        <w:rPr>
          <w:kern w:val="2"/>
          <w:sz w:val="22"/>
          <w:szCs w:val="22"/>
        </w:rPr>
        <w:t>3 </w:t>
      </w:r>
      <w:r w:rsidR="00FE0FAF" w:rsidRPr="00350FC9">
        <w:rPr>
          <w:kern w:val="2"/>
          <w:sz w:val="22"/>
          <w:szCs w:val="22"/>
        </w:rPr>
        <w:t>382</w:t>
      </w:r>
      <w:r w:rsidR="004A2517" w:rsidRPr="00350FC9">
        <w:rPr>
          <w:kern w:val="2"/>
          <w:sz w:val="22"/>
          <w:szCs w:val="22"/>
        </w:rPr>
        <w:t>,</w:t>
      </w:r>
      <w:r w:rsidR="008A5DFC" w:rsidRPr="00350FC9">
        <w:rPr>
          <w:kern w:val="2"/>
          <w:sz w:val="22"/>
          <w:szCs w:val="22"/>
        </w:rPr>
        <w:t>2</w:t>
      </w:r>
      <w:r w:rsidR="00FA0566" w:rsidRPr="00350FC9">
        <w:rPr>
          <w:kern w:val="2"/>
          <w:sz w:val="22"/>
          <w:szCs w:val="22"/>
        </w:rPr>
        <w:t xml:space="preserve"> </w:t>
      </w:r>
      <w:proofErr w:type="spellStart"/>
      <w:r w:rsidR="00FA0566" w:rsidRPr="00350FC9">
        <w:rPr>
          <w:kern w:val="2"/>
          <w:sz w:val="22"/>
          <w:szCs w:val="22"/>
        </w:rPr>
        <w:t>млн.тг</w:t>
      </w:r>
      <w:proofErr w:type="spellEnd"/>
      <w:r w:rsidR="000B193F" w:rsidRPr="00350FC9">
        <w:rPr>
          <w:kern w:val="2"/>
          <w:sz w:val="22"/>
          <w:szCs w:val="22"/>
        </w:rPr>
        <w:t>.</w:t>
      </w:r>
      <w:r w:rsidR="002C26D1">
        <w:rPr>
          <w:kern w:val="2"/>
          <w:sz w:val="22"/>
          <w:szCs w:val="22"/>
        </w:rPr>
        <w:t xml:space="preserve"> По предварительным </w:t>
      </w:r>
      <w:r w:rsidR="00574C9B">
        <w:rPr>
          <w:kern w:val="2"/>
          <w:sz w:val="22"/>
          <w:szCs w:val="22"/>
        </w:rPr>
        <w:t xml:space="preserve">данным </w:t>
      </w:r>
      <w:r w:rsidR="002C26D1">
        <w:rPr>
          <w:kern w:val="2"/>
          <w:sz w:val="22"/>
          <w:szCs w:val="22"/>
        </w:rPr>
        <w:t>расходы</w:t>
      </w:r>
      <w:r w:rsidR="00574C9B">
        <w:rPr>
          <w:kern w:val="2"/>
          <w:sz w:val="22"/>
          <w:szCs w:val="22"/>
        </w:rPr>
        <w:t xml:space="preserve"> </w:t>
      </w:r>
      <w:r w:rsidR="001516E5" w:rsidRPr="00350FC9">
        <w:rPr>
          <w:kern w:val="2"/>
          <w:sz w:val="22"/>
          <w:szCs w:val="22"/>
        </w:rPr>
        <w:t xml:space="preserve">составили </w:t>
      </w:r>
      <w:r w:rsidR="00130220" w:rsidRPr="00350FC9">
        <w:rPr>
          <w:kern w:val="2"/>
          <w:sz w:val="22"/>
          <w:szCs w:val="22"/>
        </w:rPr>
        <w:t>4</w:t>
      </w:r>
      <w:r w:rsidR="005D44B6">
        <w:rPr>
          <w:kern w:val="2"/>
          <w:sz w:val="22"/>
          <w:szCs w:val="22"/>
        </w:rPr>
        <w:t> 217,0</w:t>
      </w:r>
      <w:r w:rsidR="001516E5" w:rsidRPr="00350FC9">
        <w:rPr>
          <w:kern w:val="2"/>
          <w:sz w:val="22"/>
          <w:szCs w:val="22"/>
        </w:rPr>
        <w:t xml:space="preserve"> млн. тенге, что выше затрат, принятых в действующем тарифе на </w:t>
      </w:r>
      <w:r w:rsidR="005D44B6">
        <w:rPr>
          <w:kern w:val="2"/>
          <w:sz w:val="22"/>
          <w:szCs w:val="22"/>
        </w:rPr>
        <w:t>834</w:t>
      </w:r>
      <w:r w:rsidR="00130220" w:rsidRPr="00350FC9">
        <w:rPr>
          <w:kern w:val="2"/>
          <w:sz w:val="22"/>
          <w:szCs w:val="22"/>
        </w:rPr>
        <w:t>,</w:t>
      </w:r>
      <w:r w:rsidR="005D44B6">
        <w:rPr>
          <w:kern w:val="2"/>
          <w:sz w:val="22"/>
          <w:szCs w:val="22"/>
        </w:rPr>
        <w:t>8</w:t>
      </w:r>
      <w:r w:rsidR="001516E5" w:rsidRPr="00350FC9">
        <w:rPr>
          <w:kern w:val="2"/>
          <w:sz w:val="22"/>
          <w:szCs w:val="22"/>
        </w:rPr>
        <w:t xml:space="preserve"> млн. тенге.</w:t>
      </w:r>
    </w:p>
    <w:p w:rsidR="006771C8" w:rsidRPr="00350FC9" w:rsidRDefault="006771C8" w:rsidP="00EA3B67">
      <w:pPr>
        <w:ind w:firstLine="567"/>
        <w:jc w:val="both"/>
        <w:rPr>
          <w:b/>
          <w:bCs/>
          <w:kern w:val="2"/>
          <w:sz w:val="22"/>
          <w:szCs w:val="22"/>
        </w:rPr>
      </w:pPr>
    </w:p>
    <w:p w:rsidR="00405F9D" w:rsidRPr="00350FC9" w:rsidRDefault="00405F9D" w:rsidP="00EA3B67">
      <w:pPr>
        <w:tabs>
          <w:tab w:val="left" w:pos="4045"/>
        </w:tabs>
        <w:rPr>
          <w:sz w:val="22"/>
          <w:szCs w:val="22"/>
        </w:rPr>
      </w:pPr>
    </w:p>
    <w:p w:rsidR="00405F9D" w:rsidRPr="00350FC9" w:rsidRDefault="00405F9D" w:rsidP="00EA3B67">
      <w:pPr>
        <w:rPr>
          <w:sz w:val="22"/>
          <w:szCs w:val="22"/>
        </w:rPr>
      </w:pPr>
    </w:p>
    <w:p w:rsidR="007C336C" w:rsidRPr="00350FC9" w:rsidRDefault="007C336C" w:rsidP="00EA3B67">
      <w:pPr>
        <w:rPr>
          <w:sz w:val="22"/>
          <w:szCs w:val="22"/>
        </w:rPr>
        <w:sectPr w:rsidR="007C336C" w:rsidRPr="00350FC9" w:rsidSect="007C336C">
          <w:pgSz w:w="11906" w:h="16838" w:code="9"/>
          <w:pgMar w:top="851" w:right="567" w:bottom="567" w:left="1134" w:header="709" w:footer="709" w:gutter="0"/>
          <w:cols w:space="708"/>
          <w:docGrid w:linePitch="360"/>
        </w:sectPr>
      </w:pPr>
    </w:p>
    <w:p w:rsidR="006771C8" w:rsidRPr="00350FC9" w:rsidRDefault="00116FDE" w:rsidP="00EA3B67">
      <w:pPr>
        <w:ind w:firstLine="567"/>
        <w:jc w:val="center"/>
        <w:rPr>
          <w:b/>
          <w:bCs/>
          <w:kern w:val="2"/>
          <w:sz w:val="22"/>
          <w:szCs w:val="22"/>
        </w:rPr>
      </w:pPr>
      <w:r w:rsidRPr="00350FC9">
        <w:rPr>
          <w:b/>
          <w:bCs/>
          <w:kern w:val="2"/>
          <w:sz w:val="22"/>
          <w:szCs w:val="22"/>
        </w:rPr>
        <w:lastRenderedPageBreak/>
        <w:t>Исполнение утвержденной тарифной сметы</w:t>
      </w:r>
      <w:r w:rsidR="006771C8" w:rsidRPr="00350FC9">
        <w:rPr>
          <w:b/>
          <w:bCs/>
          <w:kern w:val="2"/>
          <w:sz w:val="22"/>
          <w:szCs w:val="22"/>
        </w:rPr>
        <w:t xml:space="preserve"> по предварительным данным 201</w:t>
      </w:r>
      <w:r w:rsidR="00747B70" w:rsidRPr="00350FC9">
        <w:rPr>
          <w:b/>
          <w:bCs/>
          <w:kern w:val="2"/>
          <w:sz w:val="22"/>
          <w:szCs w:val="22"/>
        </w:rPr>
        <w:t>8</w:t>
      </w:r>
      <w:r w:rsidR="006771C8" w:rsidRPr="00350FC9">
        <w:rPr>
          <w:b/>
          <w:bCs/>
          <w:kern w:val="2"/>
          <w:sz w:val="22"/>
          <w:szCs w:val="22"/>
        </w:rPr>
        <w:t xml:space="preserve"> года</w:t>
      </w:r>
    </w:p>
    <w:p w:rsidR="002D51F7" w:rsidRPr="00350FC9" w:rsidRDefault="002D51F7" w:rsidP="00EA3B67">
      <w:pPr>
        <w:ind w:firstLine="567"/>
        <w:jc w:val="both"/>
        <w:rPr>
          <w:b/>
          <w:bCs/>
          <w:kern w:val="2"/>
          <w:sz w:val="22"/>
          <w:szCs w:val="22"/>
        </w:rPr>
      </w:pPr>
    </w:p>
    <w:p w:rsidR="001C2816" w:rsidRPr="00350FC9" w:rsidRDefault="001C2816" w:rsidP="00EA3B67">
      <w:pPr>
        <w:rPr>
          <w:kern w:val="2"/>
          <w:sz w:val="22"/>
          <w:szCs w:val="22"/>
        </w:rPr>
      </w:pPr>
    </w:p>
    <w:tbl>
      <w:tblPr>
        <w:tblW w:w="15745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61"/>
        <w:gridCol w:w="4536"/>
        <w:gridCol w:w="886"/>
        <w:gridCol w:w="1524"/>
        <w:gridCol w:w="1559"/>
        <w:gridCol w:w="1134"/>
        <w:gridCol w:w="5245"/>
      </w:tblGrid>
      <w:tr w:rsidR="00747B70" w:rsidRPr="00350FC9" w:rsidTr="00FA728D">
        <w:trPr>
          <w:trHeight w:val="390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outlineLvl w:val="0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 xml:space="preserve">№ </w:t>
            </w:r>
            <w:proofErr w:type="gramStart"/>
            <w:r w:rsidRPr="00350FC9">
              <w:rPr>
                <w:sz w:val="22"/>
                <w:szCs w:val="22"/>
              </w:rPr>
              <w:t>п</w:t>
            </w:r>
            <w:proofErr w:type="gramEnd"/>
            <w:r w:rsidRPr="00350FC9">
              <w:rPr>
                <w:sz w:val="22"/>
                <w:szCs w:val="22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outlineLvl w:val="0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outlineLvl w:val="0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1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outlineLvl w:val="0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Предусмотрено в утверждённой тарифной смете на 2018 год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12F" w:rsidRDefault="00747B70" w:rsidP="00AE39DC">
            <w:pPr>
              <w:jc w:val="center"/>
              <w:outlineLvl w:val="0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Фактически сложившиеся показатели тарифной</w:t>
            </w:r>
            <w:r w:rsidR="0061012F">
              <w:rPr>
                <w:sz w:val="22"/>
                <w:szCs w:val="22"/>
              </w:rPr>
              <w:t xml:space="preserve"> сметы</w:t>
            </w:r>
            <w:r w:rsidRPr="00350FC9">
              <w:rPr>
                <w:sz w:val="22"/>
                <w:szCs w:val="22"/>
              </w:rPr>
              <w:t xml:space="preserve"> </w:t>
            </w:r>
          </w:p>
          <w:p w:rsidR="00747B70" w:rsidRPr="00350FC9" w:rsidRDefault="00AE39DC" w:rsidP="00AE39DC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</w:t>
            </w:r>
            <w:r w:rsidR="00747B70" w:rsidRPr="00350FC9">
              <w:rPr>
                <w:sz w:val="22"/>
                <w:szCs w:val="22"/>
              </w:rPr>
              <w:t>2018 год</w:t>
            </w:r>
            <w:r w:rsidR="006A29A9">
              <w:rPr>
                <w:sz w:val="22"/>
                <w:szCs w:val="22"/>
              </w:rPr>
              <w:t xml:space="preserve"> (до финального аудита)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outlineLvl w:val="0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Отклонение, %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outlineLvl w:val="0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Причины отклонения</w:t>
            </w:r>
          </w:p>
        </w:tc>
      </w:tr>
      <w:tr w:rsidR="00747B70" w:rsidRPr="00350FC9" w:rsidTr="00FA728D">
        <w:trPr>
          <w:trHeight w:val="1260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1155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3</w:t>
            </w:r>
          </w:p>
        </w:tc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7</w:t>
            </w:r>
          </w:p>
        </w:tc>
      </w:tr>
      <w:tr w:rsidR="00747B70" w:rsidRPr="00350FC9" w:rsidTr="00FA728D">
        <w:trPr>
          <w:trHeight w:val="7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 xml:space="preserve">Затраты на производство товаров и предоставление услуг (работ) </w:t>
            </w:r>
            <w:proofErr w:type="gramStart"/>
            <w:r w:rsidRPr="00350FC9">
              <w:rPr>
                <w:b/>
                <w:bCs/>
                <w:sz w:val="22"/>
                <w:szCs w:val="22"/>
              </w:rPr>
              <w:t>-в</w:t>
            </w:r>
            <w:proofErr w:type="gramEnd"/>
            <w:r w:rsidRPr="00350FC9">
              <w:rPr>
                <w:b/>
                <w:bCs/>
                <w:sz w:val="22"/>
                <w:szCs w:val="22"/>
              </w:rPr>
              <w:t xml:space="preserve">сего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3 243 928,95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EA46E6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3 952 789,6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BE19F7" w:rsidP="00BE19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21,9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47B70" w:rsidRPr="00350FC9" w:rsidTr="00FA728D">
        <w:trPr>
          <w:trHeight w:val="4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 xml:space="preserve">Материальные затраты, всего, в </w:t>
            </w:r>
            <w:proofErr w:type="spellStart"/>
            <w:r w:rsidRPr="00350FC9">
              <w:rPr>
                <w:b/>
                <w:bCs/>
                <w:sz w:val="22"/>
                <w:szCs w:val="22"/>
              </w:rPr>
              <w:t>т.ч</w:t>
            </w:r>
            <w:proofErr w:type="spellEnd"/>
            <w:r w:rsidRPr="00350FC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2 157 842,9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EA46E6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2 5</w:t>
            </w:r>
            <w:r w:rsidR="00EA46E6">
              <w:rPr>
                <w:b/>
                <w:bCs/>
                <w:sz w:val="22"/>
                <w:szCs w:val="22"/>
              </w:rPr>
              <w:t>85</w:t>
            </w:r>
            <w:r w:rsidRPr="00350FC9">
              <w:rPr>
                <w:b/>
                <w:bCs/>
                <w:sz w:val="22"/>
                <w:szCs w:val="22"/>
              </w:rPr>
              <w:t xml:space="preserve"> </w:t>
            </w:r>
            <w:r w:rsidR="00EA46E6">
              <w:rPr>
                <w:b/>
                <w:bCs/>
                <w:sz w:val="22"/>
                <w:szCs w:val="22"/>
              </w:rPr>
              <w:t>694</w:t>
            </w:r>
            <w:r w:rsidRPr="00350FC9">
              <w:rPr>
                <w:b/>
                <w:bCs/>
                <w:sz w:val="22"/>
                <w:szCs w:val="22"/>
              </w:rPr>
              <w:t>,</w:t>
            </w:r>
            <w:r w:rsidR="00EA46E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BE19F7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19,8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47B70" w:rsidRPr="00350FC9" w:rsidTr="00FA728D">
        <w:trPr>
          <w:trHeight w:val="3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i/>
                <w:iCs/>
                <w:sz w:val="22"/>
                <w:szCs w:val="22"/>
              </w:rPr>
            </w:pPr>
            <w:r w:rsidRPr="00350FC9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i/>
                <w:iCs/>
                <w:sz w:val="22"/>
                <w:szCs w:val="22"/>
              </w:rPr>
            </w:pPr>
            <w:r w:rsidRPr="00350FC9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747B70" w:rsidRPr="00350FC9" w:rsidTr="00FA728D">
        <w:trPr>
          <w:trHeight w:val="6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Сырье и материалы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28 696,0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EA46E6" w:rsidP="00EA4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747B70" w:rsidRPr="00350F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362</w:t>
            </w:r>
            <w:r w:rsidR="00747B70" w:rsidRPr="00350FC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BE19F7" w:rsidP="00BE19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47,6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За счёт роста объёма оказываемых услуг и увеличения стоимости приобретаемых материалов</w:t>
            </w:r>
          </w:p>
        </w:tc>
      </w:tr>
      <w:tr w:rsidR="00747B70" w:rsidRPr="00350FC9" w:rsidTr="00FA728D">
        <w:trPr>
          <w:trHeight w:val="48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ГСМ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9 618,0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EA46E6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</w:t>
            </w:r>
            <w:r w:rsidR="00EA46E6">
              <w:rPr>
                <w:sz w:val="22"/>
                <w:szCs w:val="22"/>
              </w:rPr>
              <w:t>6</w:t>
            </w:r>
            <w:r w:rsidRPr="00350FC9">
              <w:rPr>
                <w:sz w:val="22"/>
                <w:szCs w:val="22"/>
              </w:rPr>
              <w:t xml:space="preserve"> </w:t>
            </w:r>
            <w:r w:rsidR="00EA46E6">
              <w:rPr>
                <w:sz w:val="22"/>
                <w:szCs w:val="22"/>
              </w:rPr>
              <w:t>586</w:t>
            </w:r>
            <w:r w:rsidRPr="00350FC9">
              <w:rPr>
                <w:sz w:val="22"/>
                <w:szCs w:val="22"/>
              </w:rPr>
              <w:t>,</w:t>
            </w:r>
            <w:r w:rsidR="00EA46E6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BE19F7" w:rsidP="00BE19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</w:t>
            </w:r>
            <w:r w:rsidR="00747B70" w:rsidRPr="00350FC9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EA55A6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За счёт увеличения</w:t>
            </w:r>
            <w:r w:rsidR="00EA55A6">
              <w:rPr>
                <w:sz w:val="22"/>
                <w:szCs w:val="22"/>
              </w:rPr>
              <w:t xml:space="preserve"> цены и </w:t>
            </w:r>
            <w:r w:rsidRPr="00350FC9">
              <w:rPr>
                <w:sz w:val="22"/>
                <w:szCs w:val="22"/>
              </w:rPr>
              <w:t xml:space="preserve">потребности в ГСМ </w:t>
            </w:r>
            <w:proofErr w:type="gramStart"/>
            <w:r w:rsidR="00EA55A6">
              <w:rPr>
                <w:sz w:val="22"/>
                <w:szCs w:val="22"/>
              </w:rPr>
              <w:t>от</w:t>
            </w:r>
            <w:proofErr w:type="gramEnd"/>
            <w:r w:rsidR="00EA55A6">
              <w:rPr>
                <w:sz w:val="22"/>
                <w:szCs w:val="22"/>
              </w:rPr>
              <w:t xml:space="preserve"> запланированных в тарифной смете</w:t>
            </w:r>
          </w:p>
        </w:tc>
      </w:tr>
      <w:tr w:rsidR="00747B70" w:rsidRPr="00350FC9" w:rsidTr="00FA728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Топливо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2 118 518,2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EA46E6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 xml:space="preserve">2 </w:t>
            </w:r>
            <w:r w:rsidR="00EA46E6">
              <w:rPr>
                <w:b/>
                <w:bCs/>
                <w:sz w:val="22"/>
                <w:szCs w:val="22"/>
              </w:rPr>
              <w:t>511</w:t>
            </w:r>
            <w:r w:rsidRPr="00350FC9">
              <w:rPr>
                <w:b/>
                <w:bCs/>
                <w:sz w:val="22"/>
                <w:szCs w:val="22"/>
              </w:rPr>
              <w:t xml:space="preserve"> </w:t>
            </w:r>
            <w:r w:rsidR="00EA46E6">
              <w:rPr>
                <w:b/>
                <w:bCs/>
                <w:sz w:val="22"/>
                <w:szCs w:val="22"/>
              </w:rPr>
              <w:t>939</w:t>
            </w:r>
            <w:r w:rsidRPr="00350FC9">
              <w:rPr>
                <w:b/>
                <w:bCs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BE19F7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1</w:t>
            </w:r>
            <w:r w:rsidR="00BE19F7">
              <w:rPr>
                <w:b/>
                <w:bCs/>
                <w:sz w:val="22"/>
                <w:szCs w:val="22"/>
              </w:rPr>
              <w:t>8</w:t>
            </w:r>
            <w:r w:rsidRPr="00350FC9">
              <w:rPr>
                <w:b/>
                <w:bCs/>
                <w:sz w:val="22"/>
                <w:szCs w:val="22"/>
              </w:rPr>
              <w:t>,</w:t>
            </w:r>
            <w:r w:rsidR="00BE19F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</w:tr>
      <w:tr w:rsidR="00747B70" w:rsidRPr="00350FC9" w:rsidTr="00FA728D">
        <w:trPr>
          <w:trHeight w:val="4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i/>
                <w:iCs/>
                <w:sz w:val="22"/>
                <w:szCs w:val="22"/>
              </w:rPr>
            </w:pPr>
            <w:r w:rsidRPr="00350FC9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8331ED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Увеличение затрат по статье топливо на 1</w:t>
            </w:r>
            <w:r w:rsidR="00F21872">
              <w:rPr>
                <w:sz w:val="22"/>
                <w:szCs w:val="22"/>
              </w:rPr>
              <w:t>8</w:t>
            </w:r>
            <w:r w:rsidRPr="00350FC9">
              <w:rPr>
                <w:sz w:val="22"/>
                <w:szCs w:val="22"/>
              </w:rPr>
              <w:t>,</w:t>
            </w:r>
            <w:r w:rsidR="00F21872">
              <w:rPr>
                <w:sz w:val="22"/>
                <w:szCs w:val="22"/>
              </w:rPr>
              <w:t>6</w:t>
            </w:r>
            <w:r w:rsidRPr="00350FC9">
              <w:rPr>
                <w:sz w:val="22"/>
                <w:szCs w:val="22"/>
              </w:rPr>
              <w:t>% сложилось в основном за счет:</w:t>
            </w:r>
            <w:r w:rsidRPr="00350FC9">
              <w:rPr>
                <w:sz w:val="22"/>
                <w:szCs w:val="22"/>
              </w:rPr>
              <w:br/>
              <w:t>1) увеличения затрат по КТЖ на 3</w:t>
            </w:r>
            <w:r w:rsidR="00F21872">
              <w:rPr>
                <w:sz w:val="22"/>
                <w:szCs w:val="22"/>
              </w:rPr>
              <w:t>7</w:t>
            </w:r>
            <w:r w:rsidRPr="00350FC9">
              <w:rPr>
                <w:sz w:val="22"/>
                <w:szCs w:val="22"/>
              </w:rPr>
              <w:t>,</w:t>
            </w:r>
            <w:r w:rsidR="00F21872">
              <w:rPr>
                <w:sz w:val="22"/>
                <w:szCs w:val="22"/>
              </w:rPr>
              <w:t>5</w:t>
            </w:r>
            <w:r w:rsidRPr="00350FC9">
              <w:rPr>
                <w:sz w:val="22"/>
                <w:szCs w:val="22"/>
              </w:rPr>
              <w:t>%</w:t>
            </w:r>
            <w:r w:rsidR="008331ED">
              <w:rPr>
                <w:sz w:val="22"/>
                <w:szCs w:val="22"/>
              </w:rPr>
              <w:t>, что</w:t>
            </w:r>
            <w:r w:rsidRPr="00350FC9">
              <w:rPr>
                <w:sz w:val="22"/>
                <w:szCs w:val="22"/>
              </w:rPr>
              <w:t xml:space="preserve"> связано с ростом тарифа транспортировки с 1181,2 </w:t>
            </w:r>
            <w:proofErr w:type="spellStart"/>
            <w:r w:rsidRPr="00350FC9">
              <w:rPr>
                <w:sz w:val="22"/>
                <w:szCs w:val="22"/>
              </w:rPr>
              <w:t>тг</w:t>
            </w:r>
            <w:proofErr w:type="spellEnd"/>
            <w:r w:rsidRPr="00350FC9">
              <w:rPr>
                <w:sz w:val="22"/>
                <w:szCs w:val="22"/>
              </w:rPr>
              <w:t>. за тонну (предусмотрено в тарифе), до 149</w:t>
            </w:r>
            <w:r w:rsidR="008331ED" w:rsidRPr="008331ED">
              <w:rPr>
                <w:sz w:val="22"/>
                <w:szCs w:val="22"/>
              </w:rPr>
              <w:t>8</w:t>
            </w:r>
            <w:r w:rsidRPr="00350FC9">
              <w:rPr>
                <w:sz w:val="22"/>
                <w:szCs w:val="22"/>
              </w:rPr>
              <w:t>,</w:t>
            </w:r>
            <w:r w:rsidR="008331ED" w:rsidRPr="008331ED">
              <w:rPr>
                <w:sz w:val="22"/>
                <w:szCs w:val="22"/>
              </w:rPr>
              <w:t>05</w:t>
            </w:r>
            <w:r w:rsidRPr="00350FC9">
              <w:rPr>
                <w:sz w:val="22"/>
                <w:szCs w:val="22"/>
              </w:rPr>
              <w:t xml:space="preserve"> </w:t>
            </w:r>
            <w:proofErr w:type="spellStart"/>
            <w:r w:rsidRPr="00350FC9">
              <w:rPr>
                <w:sz w:val="22"/>
                <w:szCs w:val="22"/>
              </w:rPr>
              <w:t>тг</w:t>
            </w:r>
            <w:proofErr w:type="spellEnd"/>
            <w:r w:rsidRPr="00350FC9">
              <w:rPr>
                <w:sz w:val="22"/>
                <w:szCs w:val="22"/>
              </w:rPr>
              <w:t xml:space="preserve">. за тонну;                                                                                                                2) увеличения затрат </w:t>
            </w:r>
            <w:proofErr w:type="gramStart"/>
            <w:r w:rsidRPr="00350FC9">
              <w:rPr>
                <w:sz w:val="22"/>
                <w:szCs w:val="22"/>
              </w:rPr>
              <w:t>по ж</w:t>
            </w:r>
            <w:proofErr w:type="gramEnd"/>
            <w:r w:rsidRPr="00350FC9">
              <w:rPr>
                <w:sz w:val="22"/>
                <w:szCs w:val="22"/>
              </w:rPr>
              <w:t>/д услугам на 111,</w:t>
            </w:r>
            <w:r w:rsidR="00F21872">
              <w:rPr>
                <w:sz w:val="22"/>
                <w:szCs w:val="22"/>
              </w:rPr>
              <w:t>3</w:t>
            </w:r>
            <w:r w:rsidRPr="00350FC9">
              <w:rPr>
                <w:sz w:val="22"/>
                <w:szCs w:val="22"/>
              </w:rPr>
              <w:t xml:space="preserve"> % вследствие выставления счетов за плату по пользованию вагонами под разгрузкой (занятость фронта выгрузки), данные затраты не были </w:t>
            </w:r>
            <w:r w:rsidRPr="00350FC9">
              <w:rPr>
                <w:sz w:val="22"/>
                <w:szCs w:val="22"/>
              </w:rPr>
              <w:lastRenderedPageBreak/>
              <w:t xml:space="preserve">запланированы в тарифе;            </w:t>
            </w:r>
            <w:r w:rsidRPr="00350FC9">
              <w:rPr>
                <w:sz w:val="22"/>
                <w:szCs w:val="22"/>
              </w:rPr>
              <w:br/>
              <w:t>3) Рост затрат по мазуту на 3</w:t>
            </w:r>
            <w:r w:rsidR="00F21872">
              <w:rPr>
                <w:sz w:val="22"/>
                <w:szCs w:val="22"/>
              </w:rPr>
              <w:t>7,7</w:t>
            </w:r>
            <w:r w:rsidRPr="00350FC9">
              <w:rPr>
                <w:sz w:val="22"/>
                <w:szCs w:val="22"/>
              </w:rPr>
              <w:t>% . В тарифной смете цена 1 тонны мазута утверждена на уровне 40 588,8 тенге/</w:t>
            </w:r>
            <w:proofErr w:type="spellStart"/>
            <w:r w:rsidRPr="00350FC9">
              <w:rPr>
                <w:sz w:val="22"/>
                <w:szCs w:val="22"/>
              </w:rPr>
              <w:t>тн</w:t>
            </w:r>
            <w:proofErr w:type="spellEnd"/>
            <w:r w:rsidRPr="00350FC9">
              <w:rPr>
                <w:sz w:val="22"/>
                <w:szCs w:val="22"/>
              </w:rPr>
              <w:t>, фактическая среднегодовая цена мазута в 2018 году составляет 5</w:t>
            </w:r>
            <w:r w:rsidR="008331ED">
              <w:rPr>
                <w:sz w:val="22"/>
                <w:szCs w:val="22"/>
              </w:rPr>
              <w:t>9</w:t>
            </w:r>
            <w:r w:rsidRPr="00350FC9">
              <w:rPr>
                <w:sz w:val="22"/>
                <w:szCs w:val="22"/>
              </w:rPr>
              <w:t xml:space="preserve"> </w:t>
            </w:r>
            <w:r w:rsidR="008331ED">
              <w:rPr>
                <w:sz w:val="22"/>
                <w:szCs w:val="22"/>
              </w:rPr>
              <w:t>458</w:t>
            </w:r>
            <w:r w:rsidRPr="00350FC9">
              <w:rPr>
                <w:sz w:val="22"/>
                <w:szCs w:val="22"/>
              </w:rPr>
              <w:t>,</w:t>
            </w:r>
            <w:r w:rsidR="008331ED">
              <w:rPr>
                <w:sz w:val="22"/>
                <w:szCs w:val="22"/>
              </w:rPr>
              <w:t>5</w:t>
            </w:r>
            <w:r w:rsidRPr="00350FC9">
              <w:rPr>
                <w:sz w:val="22"/>
                <w:szCs w:val="22"/>
              </w:rPr>
              <w:t xml:space="preserve"> тенге/</w:t>
            </w:r>
            <w:proofErr w:type="spellStart"/>
            <w:r w:rsidRPr="00350FC9">
              <w:rPr>
                <w:sz w:val="22"/>
                <w:szCs w:val="22"/>
              </w:rPr>
              <w:t>тн</w:t>
            </w:r>
            <w:proofErr w:type="spellEnd"/>
            <w:r w:rsidRPr="00350FC9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0751C" w:rsidRPr="008331ED">
              <w:rPr>
                <w:sz w:val="22"/>
                <w:szCs w:val="22"/>
              </w:rPr>
              <w:t>4</w:t>
            </w:r>
            <w:r w:rsidRPr="00350FC9">
              <w:rPr>
                <w:sz w:val="22"/>
                <w:szCs w:val="22"/>
              </w:rPr>
              <w:t xml:space="preserve">) также рост затрат по топливу связан с увеличением отпуска </w:t>
            </w:r>
            <w:proofErr w:type="spellStart"/>
            <w:r w:rsidRPr="00350FC9">
              <w:rPr>
                <w:sz w:val="22"/>
                <w:szCs w:val="22"/>
              </w:rPr>
              <w:t>теплоэнергии</w:t>
            </w:r>
            <w:proofErr w:type="spellEnd"/>
            <w:r w:rsidRPr="00350FC9">
              <w:rPr>
                <w:sz w:val="22"/>
                <w:szCs w:val="22"/>
              </w:rPr>
              <w:t xml:space="preserve"> на </w:t>
            </w:r>
            <w:r w:rsidR="00F21872">
              <w:rPr>
                <w:sz w:val="22"/>
                <w:szCs w:val="22"/>
              </w:rPr>
              <w:t>88</w:t>
            </w:r>
            <w:r w:rsidRPr="00350FC9">
              <w:rPr>
                <w:sz w:val="22"/>
                <w:szCs w:val="22"/>
              </w:rPr>
              <w:t>,</w:t>
            </w:r>
            <w:r w:rsidR="00F21872">
              <w:rPr>
                <w:sz w:val="22"/>
                <w:szCs w:val="22"/>
              </w:rPr>
              <w:t xml:space="preserve">94 </w:t>
            </w:r>
            <w:proofErr w:type="spellStart"/>
            <w:r w:rsidRPr="00350FC9">
              <w:rPr>
                <w:sz w:val="22"/>
                <w:szCs w:val="22"/>
              </w:rPr>
              <w:t>тыс</w:t>
            </w:r>
            <w:proofErr w:type="gramStart"/>
            <w:r w:rsidRPr="00350FC9">
              <w:rPr>
                <w:sz w:val="22"/>
                <w:szCs w:val="22"/>
              </w:rPr>
              <w:t>.Г</w:t>
            </w:r>
            <w:proofErr w:type="gramEnd"/>
            <w:r w:rsidRPr="00350FC9">
              <w:rPr>
                <w:sz w:val="22"/>
                <w:szCs w:val="22"/>
              </w:rPr>
              <w:t>кал</w:t>
            </w:r>
            <w:proofErr w:type="spellEnd"/>
            <w:r w:rsidRPr="00350FC9">
              <w:rPr>
                <w:sz w:val="22"/>
                <w:szCs w:val="22"/>
              </w:rPr>
              <w:t xml:space="preserve"> </w:t>
            </w:r>
          </w:p>
        </w:tc>
      </w:tr>
      <w:tr w:rsidR="00747B70" w:rsidRPr="00350FC9" w:rsidTr="00FA728D">
        <w:trPr>
          <w:trHeight w:val="55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1.3.1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 xml:space="preserve">   Прейскурантная стоимость угля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1 205 501,7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EA46E6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 xml:space="preserve">1 </w:t>
            </w:r>
            <w:r w:rsidR="00EA46E6">
              <w:rPr>
                <w:sz w:val="22"/>
                <w:szCs w:val="22"/>
              </w:rPr>
              <w:t>301</w:t>
            </w:r>
            <w:r w:rsidRPr="00350FC9">
              <w:rPr>
                <w:sz w:val="22"/>
                <w:szCs w:val="22"/>
              </w:rPr>
              <w:t xml:space="preserve"> </w:t>
            </w:r>
            <w:r w:rsidR="00EA46E6">
              <w:rPr>
                <w:sz w:val="22"/>
                <w:szCs w:val="22"/>
              </w:rPr>
              <w:t>182</w:t>
            </w:r>
            <w:r w:rsidRPr="00350FC9">
              <w:rPr>
                <w:sz w:val="22"/>
                <w:szCs w:val="22"/>
              </w:rPr>
              <w:t>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BE19F7" w:rsidP="00BE19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747B70" w:rsidRPr="00350FC9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1.3.2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 xml:space="preserve">   Уголь, тонн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тонн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621 073,0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EA46E6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</w:t>
            </w:r>
            <w:r w:rsidR="00EA46E6">
              <w:rPr>
                <w:sz w:val="22"/>
                <w:szCs w:val="22"/>
              </w:rPr>
              <w:t>73</w:t>
            </w:r>
            <w:r w:rsidRPr="00350FC9">
              <w:rPr>
                <w:sz w:val="22"/>
                <w:szCs w:val="22"/>
              </w:rPr>
              <w:t xml:space="preserve"> </w:t>
            </w:r>
            <w:r w:rsidR="00EA46E6">
              <w:rPr>
                <w:sz w:val="22"/>
                <w:szCs w:val="22"/>
              </w:rPr>
              <w:t>255</w:t>
            </w:r>
            <w:r w:rsidRPr="00350FC9">
              <w:rPr>
                <w:sz w:val="22"/>
                <w:szCs w:val="22"/>
              </w:rPr>
              <w:t>,</w:t>
            </w:r>
            <w:r w:rsidR="00EA46E6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BE19F7" w:rsidP="00BE19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747B70" w:rsidRPr="00350FC9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4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1.3.3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 xml:space="preserve">   Стоимость транспортировки угля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889 109,7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EA46E6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1 1</w:t>
            </w:r>
            <w:r w:rsidR="00EA46E6">
              <w:rPr>
                <w:sz w:val="22"/>
                <w:szCs w:val="22"/>
              </w:rPr>
              <w:t>77</w:t>
            </w:r>
            <w:r w:rsidRPr="00350FC9">
              <w:rPr>
                <w:sz w:val="22"/>
                <w:szCs w:val="22"/>
              </w:rPr>
              <w:t xml:space="preserve"> </w:t>
            </w:r>
            <w:r w:rsidR="00EA46E6">
              <w:rPr>
                <w:sz w:val="22"/>
                <w:szCs w:val="22"/>
              </w:rPr>
              <w:t>828</w:t>
            </w:r>
            <w:r w:rsidRPr="00350FC9">
              <w:rPr>
                <w:sz w:val="22"/>
                <w:szCs w:val="22"/>
              </w:rPr>
              <w:t>,</w:t>
            </w:r>
            <w:r w:rsidR="00EA46E6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BE19F7" w:rsidP="00BE19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  <w:r w:rsidR="00747B70" w:rsidRPr="00350FC9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3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i/>
                <w:iCs/>
                <w:sz w:val="22"/>
                <w:szCs w:val="22"/>
              </w:rPr>
            </w:pPr>
            <w:r w:rsidRPr="00350FC9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lastRenderedPageBreak/>
              <w:t>1.3.4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Казахстанская железная дорога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733 612,5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EA46E6" w:rsidP="00EA4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</w:t>
            </w:r>
            <w:r w:rsidR="00747B70" w:rsidRPr="00350F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570</w:t>
            </w:r>
            <w:r w:rsidR="00747B70" w:rsidRPr="00350FC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2375A5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3</w:t>
            </w:r>
            <w:r w:rsidR="002375A5">
              <w:rPr>
                <w:b/>
                <w:bCs/>
                <w:sz w:val="22"/>
                <w:szCs w:val="22"/>
              </w:rPr>
              <w:t>7</w:t>
            </w:r>
            <w:r w:rsidRPr="00350FC9">
              <w:rPr>
                <w:b/>
                <w:bCs/>
                <w:sz w:val="22"/>
                <w:szCs w:val="22"/>
              </w:rPr>
              <w:t>,</w:t>
            </w:r>
            <w:r w:rsidR="002375A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lastRenderedPageBreak/>
              <w:t>1.3.5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 xml:space="preserve">          ЮУЖД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147 370,5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EA46E6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15</w:t>
            </w:r>
            <w:r w:rsidR="00EA46E6">
              <w:rPr>
                <w:sz w:val="22"/>
                <w:szCs w:val="22"/>
              </w:rPr>
              <w:t>2</w:t>
            </w:r>
            <w:r w:rsidRPr="00350FC9">
              <w:rPr>
                <w:sz w:val="22"/>
                <w:szCs w:val="22"/>
              </w:rPr>
              <w:t xml:space="preserve"> </w:t>
            </w:r>
            <w:r w:rsidR="00EA46E6">
              <w:rPr>
                <w:sz w:val="22"/>
                <w:szCs w:val="22"/>
              </w:rPr>
              <w:t>088</w:t>
            </w:r>
            <w:r w:rsidRPr="00350FC9">
              <w:rPr>
                <w:sz w:val="22"/>
                <w:szCs w:val="22"/>
              </w:rPr>
              <w:t>,</w:t>
            </w:r>
            <w:r w:rsidR="00EA46E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2375A5" w:rsidP="002375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747B70" w:rsidRPr="00350FC9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49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1.3.6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proofErr w:type="gramStart"/>
            <w:r w:rsidRPr="00350FC9">
              <w:rPr>
                <w:sz w:val="22"/>
                <w:szCs w:val="22"/>
              </w:rPr>
              <w:t>Ж</w:t>
            </w:r>
            <w:proofErr w:type="gramEnd"/>
            <w:r w:rsidRPr="00350FC9">
              <w:rPr>
                <w:sz w:val="22"/>
                <w:szCs w:val="22"/>
              </w:rPr>
              <w:t>/д услуги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8 126,7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EA46E6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17 1</w:t>
            </w:r>
            <w:r w:rsidR="00EA46E6">
              <w:rPr>
                <w:sz w:val="22"/>
                <w:szCs w:val="22"/>
              </w:rPr>
              <w:t>69</w:t>
            </w:r>
            <w:r w:rsidRPr="00350FC9">
              <w:rPr>
                <w:sz w:val="22"/>
                <w:szCs w:val="22"/>
              </w:rPr>
              <w:t>,</w:t>
            </w:r>
            <w:r w:rsidR="00EA46E6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2375A5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111,</w:t>
            </w:r>
            <w:r w:rsidR="002375A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5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1.3.7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 xml:space="preserve">     Мазут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23 906,8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EA46E6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 xml:space="preserve">32 </w:t>
            </w:r>
            <w:r w:rsidR="00EA46E6">
              <w:rPr>
                <w:sz w:val="22"/>
                <w:szCs w:val="22"/>
              </w:rPr>
              <w:t>928</w:t>
            </w:r>
            <w:r w:rsidRPr="00350FC9">
              <w:rPr>
                <w:sz w:val="22"/>
                <w:szCs w:val="22"/>
              </w:rPr>
              <w:t>,</w:t>
            </w:r>
            <w:r w:rsidR="00EA46E6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2375A5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3</w:t>
            </w:r>
            <w:r w:rsidR="002375A5">
              <w:rPr>
                <w:b/>
                <w:bCs/>
                <w:sz w:val="22"/>
                <w:szCs w:val="22"/>
              </w:rPr>
              <w:t>7</w:t>
            </w:r>
            <w:r w:rsidRPr="00350FC9">
              <w:rPr>
                <w:b/>
                <w:bCs/>
                <w:sz w:val="22"/>
                <w:szCs w:val="22"/>
              </w:rPr>
              <w:t>,</w:t>
            </w:r>
            <w:r w:rsidR="002375A5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747B70">
        <w:trPr>
          <w:trHeight w:val="6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1.3.8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 xml:space="preserve">     Мазут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тонн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589,0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EA46E6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5</w:t>
            </w:r>
            <w:r w:rsidR="00EA46E6">
              <w:rPr>
                <w:sz w:val="22"/>
                <w:szCs w:val="22"/>
              </w:rPr>
              <w:t>53</w:t>
            </w:r>
            <w:r w:rsidRPr="00350FC9">
              <w:rPr>
                <w:sz w:val="22"/>
                <w:szCs w:val="22"/>
              </w:rPr>
              <w:t>,</w:t>
            </w:r>
            <w:r w:rsidR="00EA46E6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2375A5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-</w:t>
            </w:r>
            <w:r w:rsidR="002375A5">
              <w:rPr>
                <w:b/>
                <w:bCs/>
                <w:sz w:val="22"/>
                <w:szCs w:val="22"/>
              </w:rPr>
              <w:t>6,0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114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 xml:space="preserve"> Энергия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1 010,7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EA46E6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 xml:space="preserve">14 </w:t>
            </w:r>
            <w:r w:rsidR="00EA46E6">
              <w:rPr>
                <w:sz w:val="22"/>
                <w:szCs w:val="22"/>
              </w:rPr>
              <w:t>805</w:t>
            </w:r>
            <w:r w:rsidRPr="00350FC9">
              <w:rPr>
                <w:sz w:val="22"/>
                <w:szCs w:val="22"/>
              </w:rPr>
              <w:t>,</w:t>
            </w:r>
            <w:r w:rsidR="00EA46E6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0458A8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1 3</w:t>
            </w:r>
            <w:r w:rsidR="000458A8">
              <w:rPr>
                <w:b/>
                <w:bCs/>
                <w:sz w:val="22"/>
                <w:szCs w:val="22"/>
              </w:rPr>
              <w:t>64</w:t>
            </w:r>
            <w:r w:rsidRPr="00350FC9">
              <w:rPr>
                <w:b/>
                <w:bCs/>
                <w:sz w:val="22"/>
                <w:szCs w:val="22"/>
              </w:rPr>
              <w:t>,</w:t>
            </w:r>
            <w:r w:rsidR="000458A8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both"/>
              <w:rPr>
                <w:sz w:val="22"/>
                <w:szCs w:val="22"/>
              </w:rPr>
            </w:pPr>
            <w:proofErr w:type="spellStart"/>
            <w:r w:rsidRPr="00350FC9">
              <w:rPr>
                <w:sz w:val="22"/>
                <w:szCs w:val="22"/>
              </w:rPr>
              <w:t>Переосвоение</w:t>
            </w:r>
            <w:proofErr w:type="spellEnd"/>
            <w:r w:rsidRPr="00350FC9">
              <w:rPr>
                <w:sz w:val="22"/>
                <w:szCs w:val="22"/>
              </w:rPr>
              <w:t xml:space="preserve"> связано с увеличением стоимости оказываемых услуг. В тарифе на 2018 год затраты на энергию утверждены  уполномоченным органом на уровне 2017 года.</w:t>
            </w:r>
          </w:p>
        </w:tc>
      </w:tr>
      <w:tr w:rsidR="00747B70" w:rsidRPr="00350FC9" w:rsidTr="00FA728D">
        <w:trPr>
          <w:trHeight w:val="3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 xml:space="preserve"> Расходы на оплату труда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146 438,9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EA46E6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2</w:t>
            </w:r>
            <w:r w:rsidR="00EA46E6">
              <w:rPr>
                <w:b/>
                <w:bCs/>
                <w:sz w:val="22"/>
                <w:szCs w:val="22"/>
              </w:rPr>
              <w:t>82</w:t>
            </w:r>
            <w:r w:rsidRPr="00350FC9">
              <w:rPr>
                <w:b/>
                <w:bCs/>
                <w:sz w:val="22"/>
                <w:szCs w:val="22"/>
              </w:rPr>
              <w:t xml:space="preserve"> </w:t>
            </w:r>
            <w:r w:rsidR="00EA46E6">
              <w:rPr>
                <w:b/>
                <w:bCs/>
                <w:sz w:val="22"/>
                <w:szCs w:val="22"/>
              </w:rPr>
              <w:t>473</w:t>
            </w:r>
            <w:r w:rsidRPr="00350FC9">
              <w:rPr>
                <w:b/>
                <w:bCs/>
                <w:sz w:val="22"/>
                <w:szCs w:val="22"/>
              </w:rPr>
              <w:t>,</w:t>
            </w:r>
            <w:r w:rsidR="00EA46E6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0458A8" w:rsidP="000458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  <w:r w:rsidR="00747B70" w:rsidRPr="00350FC9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both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 xml:space="preserve">Связано с превышением фактической среднемесячной заработной платы </w:t>
            </w:r>
            <w:proofErr w:type="gramStart"/>
            <w:r w:rsidRPr="00350FC9">
              <w:rPr>
                <w:sz w:val="22"/>
                <w:szCs w:val="22"/>
              </w:rPr>
              <w:t>над</w:t>
            </w:r>
            <w:proofErr w:type="gramEnd"/>
            <w:r w:rsidRPr="00350FC9">
              <w:rPr>
                <w:sz w:val="22"/>
                <w:szCs w:val="22"/>
              </w:rPr>
              <w:t xml:space="preserve"> предусмотренной в действующем тарифе в целях сдерживания массового оттока квалифицированного персонала</w:t>
            </w:r>
          </w:p>
        </w:tc>
      </w:tr>
      <w:tr w:rsidR="00747B70" w:rsidRPr="00350FC9" w:rsidTr="00FA728D">
        <w:trPr>
          <w:trHeight w:val="3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i/>
                <w:iCs/>
                <w:sz w:val="22"/>
                <w:szCs w:val="22"/>
              </w:rPr>
            </w:pPr>
            <w:r w:rsidRPr="00350FC9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52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2.1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 xml:space="preserve"> Заработная плата производственного персонала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133 065,8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EA46E6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2</w:t>
            </w:r>
            <w:r w:rsidR="00EA46E6">
              <w:rPr>
                <w:sz w:val="22"/>
                <w:szCs w:val="22"/>
              </w:rPr>
              <w:t>56</w:t>
            </w:r>
            <w:r w:rsidRPr="00350FC9">
              <w:rPr>
                <w:sz w:val="22"/>
                <w:szCs w:val="22"/>
              </w:rPr>
              <w:t xml:space="preserve"> </w:t>
            </w:r>
            <w:r w:rsidR="00EA46E6">
              <w:rPr>
                <w:sz w:val="22"/>
                <w:szCs w:val="22"/>
              </w:rPr>
              <w:t>600</w:t>
            </w:r>
            <w:r w:rsidRPr="00350FC9">
              <w:rPr>
                <w:sz w:val="22"/>
                <w:szCs w:val="22"/>
              </w:rPr>
              <w:t>,</w:t>
            </w:r>
            <w:r w:rsidR="00EA46E6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0458A8" w:rsidP="000458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  <w:r w:rsidR="00747B70" w:rsidRPr="00350FC9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4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2.2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Социальный налог, соц. отчисления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11 377,1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EA46E6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2</w:t>
            </w:r>
            <w:r w:rsidR="00EA46E6">
              <w:rPr>
                <w:sz w:val="22"/>
                <w:szCs w:val="22"/>
              </w:rPr>
              <w:t>2</w:t>
            </w:r>
            <w:r w:rsidRPr="00350FC9">
              <w:rPr>
                <w:sz w:val="22"/>
                <w:szCs w:val="22"/>
              </w:rPr>
              <w:t xml:space="preserve"> </w:t>
            </w:r>
            <w:r w:rsidR="00EA46E6">
              <w:rPr>
                <w:sz w:val="22"/>
                <w:szCs w:val="22"/>
              </w:rPr>
              <w:t>054</w:t>
            </w:r>
            <w:r w:rsidRPr="00350FC9">
              <w:rPr>
                <w:sz w:val="22"/>
                <w:szCs w:val="22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0458A8" w:rsidP="000458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</w:t>
            </w:r>
            <w:r w:rsidR="00747B70" w:rsidRPr="00350FC9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4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2.3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Обязательное социальное медицинское страхование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1 996,0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EA46E6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 xml:space="preserve">3 </w:t>
            </w:r>
            <w:r w:rsidR="00EA46E6">
              <w:rPr>
                <w:sz w:val="22"/>
                <w:szCs w:val="22"/>
              </w:rPr>
              <w:t>819</w:t>
            </w:r>
            <w:r w:rsidRPr="00350FC9">
              <w:rPr>
                <w:sz w:val="22"/>
                <w:szCs w:val="22"/>
              </w:rPr>
              <w:t>,</w:t>
            </w:r>
            <w:r w:rsidR="00EA46E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0458A8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</w:t>
            </w:r>
            <w:r w:rsidR="00747B70" w:rsidRPr="00350FC9">
              <w:rPr>
                <w:b/>
                <w:bCs/>
                <w:sz w:val="22"/>
                <w:szCs w:val="22"/>
              </w:rPr>
              <w:t>,3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37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 xml:space="preserve"> Амортизация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547 875,0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0352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547 875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0458A8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3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 xml:space="preserve">Ремонт, всего в </w:t>
            </w:r>
            <w:proofErr w:type="spellStart"/>
            <w:r w:rsidRPr="00350FC9">
              <w:rPr>
                <w:b/>
                <w:bCs/>
                <w:sz w:val="22"/>
                <w:szCs w:val="22"/>
              </w:rPr>
              <w:t>т.ч</w:t>
            </w:r>
            <w:proofErr w:type="spellEnd"/>
            <w:r w:rsidRPr="00350FC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234 698,0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035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2</w:t>
            </w:r>
            <w:r w:rsidR="00740352">
              <w:rPr>
                <w:b/>
                <w:bCs/>
                <w:sz w:val="22"/>
                <w:szCs w:val="22"/>
              </w:rPr>
              <w:t>91 356</w:t>
            </w:r>
            <w:r w:rsidRPr="00350FC9">
              <w:rPr>
                <w:b/>
                <w:bCs/>
                <w:sz w:val="22"/>
                <w:szCs w:val="22"/>
              </w:rPr>
              <w:t>,</w:t>
            </w:r>
            <w:r w:rsidR="0074035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0458A8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2</w:t>
            </w:r>
            <w:r w:rsidR="000458A8">
              <w:rPr>
                <w:b/>
                <w:bCs/>
                <w:sz w:val="22"/>
                <w:szCs w:val="22"/>
              </w:rPr>
              <w:t>4</w:t>
            </w:r>
            <w:r w:rsidRPr="00350FC9">
              <w:rPr>
                <w:b/>
                <w:bCs/>
                <w:sz w:val="22"/>
                <w:szCs w:val="22"/>
              </w:rPr>
              <w:t>,</w:t>
            </w:r>
            <w:r w:rsidR="000458A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2F41C4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За счёт смещения графика ремонтных работ</w:t>
            </w:r>
            <w:r w:rsidR="00EA55A6">
              <w:rPr>
                <w:sz w:val="22"/>
                <w:szCs w:val="22"/>
              </w:rPr>
              <w:t xml:space="preserve"> по причине несвоевременной поставки ТМЦ в </w:t>
            </w:r>
            <w:r w:rsidR="002F41C4">
              <w:rPr>
                <w:sz w:val="22"/>
                <w:szCs w:val="22"/>
              </w:rPr>
              <w:t>течение года</w:t>
            </w:r>
            <w:r w:rsidRPr="00350FC9">
              <w:rPr>
                <w:sz w:val="22"/>
                <w:szCs w:val="22"/>
              </w:rPr>
              <w:t>, что повлияло на распределение затрат на тепловую энергию.</w:t>
            </w:r>
          </w:p>
        </w:tc>
      </w:tr>
      <w:tr w:rsidR="00747B70" w:rsidRPr="00350FC9" w:rsidTr="00FA728D">
        <w:trPr>
          <w:trHeight w:val="6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4.1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капитальный ремонт, не ведущий к увеличению стоимости основных фондов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57 162,0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0352" w:rsidP="00747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73 019,6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0458A8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2</w:t>
            </w:r>
            <w:r w:rsidR="000458A8">
              <w:rPr>
                <w:b/>
                <w:bCs/>
                <w:sz w:val="22"/>
                <w:szCs w:val="22"/>
              </w:rPr>
              <w:t>7</w:t>
            </w:r>
            <w:r w:rsidRPr="00350FC9">
              <w:rPr>
                <w:b/>
                <w:bCs/>
                <w:sz w:val="22"/>
                <w:szCs w:val="22"/>
              </w:rPr>
              <w:t>,</w:t>
            </w:r>
            <w:r w:rsidR="000458A8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37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outlineLvl w:val="0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4.2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outlineLvl w:val="0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 xml:space="preserve">      текущий ремонт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outlineLvl w:val="0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outlineLvl w:val="0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177 536,0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0352">
            <w:pPr>
              <w:jc w:val="center"/>
              <w:outlineLvl w:val="0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21</w:t>
            </w:r>
            <w:r w:rsidR="00740352">
              <w:rPr>
                <w:sz w:val="22"/>
                <w:szCs w:val="22"/>
              </w:rPr>
              <w:t>8 337,0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0458A8" w:rsidP="00747B70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23,0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 xml:space="preserve">Прочие затраты производственного характера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157 074,2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035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2</w:t>
            </w:r>
            <w:r w:rsidR="00740352">
              <w:rPr>
                <w:b/>
                <w:bCs/>
                <w:sz w:val="22"/>
                <w:szCs w:val="22"/>
              </w:rPr>
              <w:t>4</w:t>
            </w:r>
            <w:r w:rsidRPr="00350FC9">
              <w:rPr>
                <w:b/>
                <w:bCs/>
                <w:sz w:val="22"/>
                <w:szCs w:val="22"/>
              </w:rPr>
              <w:t>5 38</w:t>
            </w:r>
            <w:r w:rsidR="00740352">
              <w:rPr>
                <w:b/>
                <w:bCs/>
                <w:sz w:val="22"/>
                <w:szCs w:val="22"/>
              </w:rPr>
              <w:t>9</w:t>
            </w:r>
            <w:r w:rsidRPr="00350FC9">
              <w:rPr>
                <w:b/>
                <w:bCs/>
                <w:sz w:val="22"/>
                <w:szCs w:val="22"/>
              </w:rPr>
              <w:t>,</w:t>
            </w:r>
            <w:r w:rsidR="00740352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0458A8" w:rsidP="000458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56,2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47B70" w:rsidRPr="00350FC9" w:rsidTr="00FA728D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i/>
                <w:iCs/>
                <w:sz w:val="22"/>
                <w:szCs w:val="22"/>
              </w:rPr>
            </w:pPr>
            <w:r w:rsidRPr="00350FC9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i/>
                <w:iCs/>
                <w:sz w:val="22"/>
                <w:szCs w:val="22"/>
              </w:rPr>
            </w:pPr>
            <w:r w:rsidRPr="00350FC9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747B70" w:rsidRPr="00350FC9" w:rsidTr="00FA728D">
        <w:trPr>
          <w:trHeight w:val="10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lastRenderedPageBreak/>
              <w:t>5.1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подготовка кадров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0352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7</w:t>
            </w:r>
            <w:r w:rsidR="00740352">
              <w:rPr>
                <w:sz w:val="22"/>
                <w:szCs w:val="22"/>
              </w:rPr>
              <w:t>75</w:t>
            </w:r>
            <w:r w:rsidRPr="00350FC9">
              <w:rPr>
                <w:sz w:val="22"/>
                <w:szCs w:val="22"/>
              </w:rPr>
              <w:t>,</w:t>
            </w:r>
            <w:r w:rsidR="00740352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0458A8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2</w:t>
            </w:r>
            <w:r w:rsidR="000458A8">
              <w:rPr>
                <w:b/>
                <w:bCs/>
                <w:sz w:val="22"/>
                <w:szCs w:val="22"/>
              </w:rPr>
              <w:t>7</w:t>
            </w:r>
            <w:r w:rsidRPr="00350FC9">
              <w:rPr>
                <w:b/>
                <w:bCs/>
                <w:sz w:val="22"/>
                <w:szCs w:val="22"/>
              </w:rPr>
              <w:t>,</w:t>
            </w:r>
            <w:r w:rsidR="000458A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621E15" w:rsidP="00146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Превышение </w:t>
            </w:r>
            <w:r w:rsidR="00747B70" w:rsidRPr="00350FC9">
              <w:rPr>
                <w:sz w:val="22"/>
                <w:szCs w:val="22"/>
              </w:rPr>
              <w:t>затрат связано с увеличением количества человек, проходящих подготовку</w:t>
            </w:r>
            <w:r w:rsidR="00146FF2">
              <w:rPr>
                <w:sz w:val="22"/>
                <w:szCs w:val="22"/>
              </w:rPr>
              <w:t>,</w:t>
            </w:r>
            <w:r w:rsidR="00747B70" w:rsidRPr="00350FC9">
              <w:rPr>
                <w:sz w:val="22"/>
                <w:szCs w:val="22"/>
              </w:rPr>
              <w:t xml:space="preserve"> </w:t>
            </w:r>
            <w:r w:rsidR="00146FF2">
              <w:rPr>
                <w:sz w:val="22"/>
                <w:szCs w:val="22"/>
              </w:rPr>
              <w:t>ввиду текучести персонала и ротации кадров, а так же</w:t>
            </w:r>
            <w:r w:rsidR="00747B70" w:rsidRPr="00350FC9">
              <w:rPr>
                <w:sz w:val="22"/>
                <w:szCs w:val="22"/>
              </w:rPr>
              <w:t xml:space="preserve"> </w:t>
            </w:r>
            <w:r w:rsidR="00A15815">
              <w:rPr>
                <w:sz w:val="22"/>
                <w:szCs w:val="22"/>
              </w:rPr>
              <w:t xml:space="preserve">с ростом </w:t>
            </w:r>
            <w:r w:rsidR="00747B70" w:rsidRPr="00350FC9">
              <w:rPr>
                <w:sz w:val="22"/>
                <w:szCs w:val="22"/>
              </w:rPr>
              <w:t>стоимости услуг относительно утвержденных данных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47B70" w:rsidRPr="00350FC9" w:rsidTr="00FA728D">
        <w:trPr>
          <w:trHeight w:val="6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5.2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поверка приборов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</w:t>
            </w:r>
            <w:r w:rsidR="00BF7E86">
              <w:rPr>
                <w:sz w:val="22"/>
                <w:szCs w:val="22"/>
              </w:rPr>
              <w:t xml:space="preserve"> </w:t>
            </w:r>
            <w:r w:rsidRPr="00350FC9">
              <w:rPr>
                <w:sz w:val="22"/>
                <w:szCs w:val="22"/>
              </w:rPr>
              <w:t>091,1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0352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</w:t>
            </w:r>
            <w:r w:rsidR="00740352">
              <w:rPr>
                <w:sz w:val="22"/>
                <w:szCs w:val="22"/>
              </w:rPr>
              <w:t xml:space="preserve"> 108</w:t>
            </w:r>
            <w:r w:rsidRPr="00350FC9">
              <w:rPr>
                <w:sz w:val="22"/>
                <w:szCs w:val="22"/>
              </w:rPr>
              <w:t>,</w:t>
            </w:r>
            <w:r w:rsidR="00740352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0458A8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49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5.3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услуги РГП "</w:t>
            </w:r>
            <w:proofErr w:type="spellStart"/>
            <w:r w:rsidRPr="00350FC9">
              <w:rPr>
                <w:sz w:val="22"/>
                <w:szCs w:val="22"/>
              </w:rPr>
              <w:t>Казводхоз</w:t>
            </w:r>
            <w:proofErr w:type="spellEnd"/>
            <w:r w:rsidRPr="00350FC9">
              <w:rPr>
                <w:sz w:val="22"/>
                <w:szCs w:val="22"/>
              </w:rPr>
              <w:t>"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322,8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0352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3</w:t>
            </w:r>
            <w:r w:rsidR="00740352">
              <w:rPr>
                <w:sz w:val="22"/>
                <w:szCs w:val="22"/>
              </w:rPr>
              <w:t>17</w:t>
            </w:r>
            <w:r w:rsidRPr="00350FC9">
              <w:rPr>
                <w:sz w:val="22"/>
                <w:szCs w:val="22"/>
              </w:rPr>
              <w:t>,</w:t>
            </w:r>
            <w:r w:rsidR="00740352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0458A8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-1,6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</w:tr>
      <w:tr w:rsidR="00747B70" w:rsidRPr="00350FC9" w:rsidTr="00FA728D">
        <w:trPr>
          <w:trHeight w:val="7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5.4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услуги автотранспортных предприятий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51</w:t>
            </w:r>
            <w:r w:rsidR="00BF7E86">
              <w:rPr>
                <w:sz w:val="22"/>
                <w:szCs w:val="22"/>
              </w:rPr>
              <w:t xml:space="preserve"> </w:t>
            </w:r>
            <w:r w:rsidRPr="00350FC9">
              <w:rPr>
                <w:sz w:val="22"/>
                <w:szCs w:val="22"/>
              </w:rPr>
              <w:t>304,8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0352" w:rsidP="00740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49 618</w:t>
            </w:r>
            <w:r w:rsidR="00747B70" w:rsidRPr="00350FC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0458A8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-3,3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11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5.5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proofErr w:type="spellStart"/>
            <w:r w:rsidRPr="00350FC9">
              <w:rPr>
                <w:sz w:val="22"/>
                <w:szCs w:val="22"/>
              </w:rPr>
              <w:t>демеркуризация</w:t>
            </w:r>
            <w:proofErr w:type="spellEnd"/>
            <w:r w:rsidRPr="00350FC9">
              <w:rPr>
                <w:sz w:val="22"/>
                <w:szCs w:val="22"/>
              </w:rPr>
              <w:t xml:space="preserve"> ртутьсодержащих ламп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0352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18,</w:t>
            </w:r>
            <w:r w:rsidR="0074035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0458A8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-2,2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6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5.6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 xml:space="preserve">Услуги </w:t>
            </w:r>
            <w:proofErr w:type="spellStart"/>
            <w:r w:rsidRPr="00350FC9">
              <w:rPr>
                <w:sz w:val="22"/>
                <w:szCs w:val="22"/>
              </w:rPr>
              <w:t>дезостанции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182,6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0352" w:rsidP="00740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747B70" w:rsidRPr="00350FC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0458A8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B85F57" w:rsidP="00B85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</w:t>
            </w:r>
            <w:r w:rsidR="00747B70" w:rsidRPr="00350FC9">
              <w:rPr>
                <w:sz w:val="22"/>
                <w:szCs w:val="22"/>
              </w:rPr>
              <w:t xml:space="preserve"> затрат связан с увеличением стоимости услуг относительно утвержденных данных</w:t>
            </w:r>
          </w:p>
        </w:tc>
      </w:tr>
      <w:tr w:rsidR="00747B70" w:rsidRPr="00350FC9" w:rsidTr="00FA728D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5.7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Услуги по вывозу мусора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</w:t>
            </w:r>
            <w:r w:rsidR="00BF7E86">
              <w:rPr>
                <w:sz w:val="22"/>
                <w:szCs w:val="22"/>
              </w:rPr>
              <w:t xml:space="preserve"> </w:t>
            </w:r>
            <w:r w:rsidRPr="00350FC9">
              <w:rPr>
                <w:sz w:val="22"/>
                <w:szCs w:val="22"/>
              </w:rPr>
              <w:t>897,3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0352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</w:t>
            </w:r>
            <w:r w:rsidR="00740352">
              <w:rPr>
                <w:sz w:val="22"/>
                <w:szCs w:val="22"/>
              </w:rPr>
              <w:t xml:space="preserve"> 868</w:t>
            </w:r>
            <w:r w:rsidRPr="00350FC9">
              <w:rPr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1355D7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-1,5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</w:tr>
      <w:tr w:rsidR="00747B70" w:rsidRPr="00350FC9" w:rsidTr="00FA728D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5.8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Услуги пожарной охраны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3</w:t>
            </w:r>
            <w:r w:rsidR="00BF7E86">
              <w:rPr>
                <w:sz w:val="22"/>
                <w:szCs w:val="22"/>
              </w:rPr>
              <w:t xml:space="preserve"> </w:t>
            </w:r>
            <w:r w:rsidRPr="00350FC9">
              <w:rPr>
                <w:sz w:val="22"/>
                <w:szCs w:val="22"/>
              </w:rPr>
              <w:t>359,8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0352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3</w:t>
            </w:r>
            <w:r w:rsidR="00740352">
              <w:rPr>
                <w:sz w:val="22"/>
                <w:szCs w:val="22"/>
              </w:rPr>
              <w:t xml:space="preserve"> 490</w:t>
            </w:r>
            <w:r w:rsidRPr="00350FC9">
              <w:rPr>
                <w:sz w:val="22"/>
                <w:szCs w:val="22"/>
              </w:rPr>
              <w:t>,</w:t>
            </w:r>
            <w:r w:rsidR="00740352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1355D7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B85F57" w:rsidP="00B85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</w:t>
            </w:r>
            <w:r w:rsidR="007F6E03" w:rsidRPr="00350FC9">
              <w:rPr>
                <w:sz w:val="22"/>
                <w:szCs w:val="22"/>
              </w:rPr>
              <w:t xml:space="preserve"> затрат связан с увеличением стоимости услуг относительно утвержденных данных</w:t>
            </w:r>
          </w:p>
        </w:tc>
      </w:tr>
      <w:tr w:rsidR="00747B70" w:rsidRPr="00350FC9" w:rsidTr="001355D7">
        <w:trPr>
          <w:trHeight w:val="6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5.9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Услуги пассажирского транспорта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</w:t>
            </w:r>
            <w:r w:rsidR="00BF7E86">
              <w:rPr>
                <w:sz w:val="22"/>
                <w:szCs w:val="22"/>
              </w:rPr>
              <w:t xml:space="preserve"> </w:t>
            </w:r>
            <w:r w:rsidRPr="00350FC9">
              <w:rPr>
                <w:sz w:val="22"/>
                <w:szCs w:val="22"/>
              </w:rPr>
              <w:t>481,0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E47A66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</w:t>
            </w:r>
            <w:r w:rsidR="00E47A66">
              <w:rPr>
                <w:sz w:val="22"/>
                <w:szCs w:val="22"/>
              </w:rPr>
              <w:t xml:space="preserve"> </w:t>
            </w:r>
            <w:r w:rsidR="00740352">
              <w:rPr>
                <w:sz w:val="22"/>
                <w:szCs w:val="22"/>
              </w:rPr>
              <w:t>602</w:t>
            </w:r>
            <w:r w:rsidRPr="00350FC9">
              <w:rPr>
                <w:sz w:val="22"/>
                <w:szCs w:val="22"/>
              </w:rPr>
              <w:t>,</w:t>
            </w:r>
            <w:r w:rsidR="00E47A66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1355D7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6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5.10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Услуги охраны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12</w:t>
            </w:r>
            <w:r w:rsidR="00BF7E86">
              <w:rPr>
                <w:sz w:val="22"/>
                <w:szCs w:val="22"/>
              </w:rPr>
              <w:t xml:space="preserve"> </w:t>
            </w:r>
            <w:r w:rsidRPr="00350FC9">
              <w:rPr>
                <w:sz w:val="22"/>
                <w:szCs w:val="22"/>
              </w:rPr>
              <w:t>825,3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E47A66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</w:t>
            </w:r>
            <w:r w:rsidR="00E47A66">
              <w:rPr>
                <w:sz w:val="22"/>
                <w:szCs w:val="22"/>
              </w:rPr>
              <w:t>3 393</w:t>
            </w:r>
            <w:r w:rsidRPr="00350FC9">
              <w:rPr>
                <w:sz w:val="22"/>
                <w:szCs w:val="22"/>
              </w:rPr>
              <w:t>,</w:t>
            </w:r>
            <w:r w:rsidR="00E47A66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1355D7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4,4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B85F57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 xml:space="preserve">За счёт роста стоимости </w:t>
            </w:r>
            <w:r w:rsidR="00B85F57">
              <w:rPr>
                <w:sz w:val="22"/>
                <w:szCs w:val="22"/>
              </w:rPr>
              <w:t xml:space="preserve">1 </w:t>
            </w:r>
            <w:proofErr w:type="spellStart"/>
            <w:r w:rsidR="00B85F57">
              <w:rPr>
                <w:sz w:val="22"/>
                <w:szCs w:val="22"/>
              </w:rPr>
              <w:t>посто</w:t>
            </w:r>
            <w:proofErr w:type="spellEnd"/>
            <w:r w:rsidR="00B85F57">
              <w:rPr>
                <w:sz w:val="22"/>
                <w:szCs w:val="22"/>
              </w:rPr>
              <w:t>-часа</w:t>
            </w:r>
            <w:r w:rsidRPr="00350FC9">
              <w:rPr>
                <w:sz w:val="22"/>
                <w:szCs w:val="22"/>
              </w:rPr>
              <w:t xml:space="preserve"> от </w:t>
            </w:r>
            <w:proofErr w:type="gramStart"/>
            <w:r w:rsidRPr="00350FC9">
              <w:rPr>
                <w:sz w:val="22"/>
                <w:szCs w:val="22"/>
              </w:rPr>
              <w:t>запланированных</w:t>
            </w:r>
            <w:proofErr w:type="gramEnd"/>
            <w:r w:rsidRPr="00350FC9">
              <w:rPr>
                <w:sz w:val="22"/>
                <w:szCs w:val="22"/>
              </w:rPr>
              <w:t xml:space="preserve"> в тарифе</w:t>
            </w:r>
          </w:p>
        </w:tc>
      </w:tr>
      <w:tr w:rsidR="00747B70" w:rsidRPr="00350FC9" w:rsidTr="00B85F57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5.11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E47A66" w:rsidP="00E47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1355D7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4,3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5.12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Аренда земли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10</w:t>
            </w:r>
            <w:r w:rsidR="00BF7E86">
              <w:rPr>
                <w:sz w:val="22"/>
                <w:szCs w:val="22"/>
              </w:rPr>
              <w:t xml:space="preserve"> </w:t>
            </w:r>
            <w:r w:rsidRPr="00350FC9">
              <w:rPr>
                <w:sz w:val="22"/>
                <w:szCs w:val="22"/>
              </w:rPr>
              <w:t>438,6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845264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10</w:t>
            </w:r>
            <w:r w:rsidR="00845264">
              <w:rPr>
                <w:sz w:val="22"/>
                <w:szCs w:val="22"/>
              </w:rPr>
              <w:t xml:space="preserve"> 881</w:t>
            </w:r>
            <w:r w:rsidRPr="00350FC9">
              <w:rPr>
                <w:sz w:val="22"/>
                <w:szCs w:val="22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1355D7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4,2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F6E03" w:rsidP="00747B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 затрат связан с увеличением арендуемой площади земельных участков</w:t>
            </w:r>
          </w:p>
        </w:tc>
      </w:tr>
      <w:tr w:rsidR="00747B70" w:rsidRPr="00350FC9" w:rsidTr="00FA728D">
        <w:trPr>
          <w:trHeight w:val="70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5.13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1355D7" w:rsidP="00747B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(</w:t>
            </w:r>
            <w:r w:rsidR="00747B70" w:rsidRPr="00350FC9">
              <w:rPr>
                <w:sz w:val="22"/>
                <w:szCs w:val="22"/>
              </w:rPr>
              <w:t>плата за выбросы)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52</w:t>
            </w:r>
            <w:r w:rsidR="00BF7E86">
              <w:rPr>
                <w:sz w:val="22"/>
                <w:szCs w:val="22"/>
              </w:rPr>
              <w:t xml:space="preserve"> </w:t>
            </w:r>
            <w:r w:rsidRPr="00350FC9">
              <w:rPr>
                <w:sz w:val="22"/>
                <w:szCs w:val="22"/>
              </w:rPr>
              <w:t>860,0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845264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</w:t>
            </w:r>
            <w:r w:rsidR="00845264">
              <w:rPr>
                <w:sz w:val="22"/>
                <w:szCs w:val="22"/>
              </w:rPr>
              <w:t>31 819</w:t>
            </w:r>
            <w:r w:rsidRPr="00350FC9">
              <w:rPr>
                <w:sz w:val="22"/>
                <w:szCs w:val="22"/>
              </w:rPr>
              <w:t>,</w:t>
            </w:r>
            <w:r w:rsidR="00845264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1355D7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1</w:t>
            </w:r>
            <w:r w:rsidR="001355D7">
              <w:rPr>
                <w:b/>
                <w:bCs/>
                <w:sz w:val="22"/>
                <w:szCs w:val="22"/>
              </w:rPr>
              <w:t>49</w:t>
            </w:r>
            <w:r w:rsidRPr="00350FC9">
              <w:rPr>
                <w:b/>
                <w:bCs/>
                <w:sz w:val="22"/>
                <w:szCs w:val="22"/>
              </w:rPr>
              <w:t>,</w:t>
            </w:r>
            <w:r w:rsidR="001355D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За счёт увеличения объёма отпуска тепловой энергии и повышения ставок на эмиссии в окружающую среду</w:t>
            </w:r>
          </w:p>
        </w:tc>
      </w:tr>
      <w:tr w:rsidR="00747B70" w:rsidRPr="00350FC9" w:rsidTr="00FA728D">
        <w:trPr>
          <w:trHeight w:val="7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5.14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Охрана труда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5</w:t>
            </w:r>
            <w:r w:rsidR="00BF7E86">
              <w:rPr>
                <w:sz w:val="22"/>
                <w:szCs w:val="22"/>
              </w:rPr>
              <w:t xml:space="preserve"> </w:t>
            </w:r>
            <w:r w:rsidRPr="00350FC9">
              <w:rPr>
                <w:sz w:val="22"/>
                <w:szCs w:val="22"/>
              </w:rPr>
              <w:t>929,0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845264" w:rsidP="008452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8 002</w:t>
            </w:r>
            <w:r w:rsidR="00747B70" w:rsidRPr="00350FC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1355D7" w:rsidP="001355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747B70" w:rsidRPr="00350FC9">
              <w:rPr>
                <w:b/>
                <w:bCs/>
                <w:sz w:val="22"/>
                <w:szCs w:val="22"/>
              </w:rPr>
              <w:t>5,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proofErr w:type="spellStart"/>
            <w:r w:rsidRPr="00350FC9">
              <w:rPr>
                <w:sz w:val="22"/>
                <w:szCs w:val="22"/>
              </w:rPr>
              <w:t>Переосвоение</w:t>
            </w:r>
            <w:proofErr w:type="spellEnd"/>
            <w:r w:rsidRPr="00350FC9">
              <w:rPr>
                <w:sz w:val="22"/>
                <w:szCs w:val="22"/>
              </w:rPr>
              <w:t xml:space="preserve"> связано с ростом цен на спец. одежду, спец. обувь, защитные средства и спец. жиры</w:t>
            </w:r>
          </w:p>
        </w:tc>
      </w:tr>
      <w:tr w:rsidR="00747B70" w:rsidRPr="00350FC9" w:rsidTr="00FA728D">
        <w:trPr>
          <w:trHeight w:val="109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lastRenderedPageBreak/>
              <w:t>5.15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Вода и канализация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</w:t>
            </w:r>
            <w:r w:rsidR="00BF7E86">
              <w:rPr>
                <w:sz w:val="22"/>
                <w:szCs w:val="22"/>
              </w:rPr>
              <w:t xml:space="preserve"> </w:t>
            </w:r>
            <w:r w:rsidRPr="00350FC9">
              <w:rPr>
                <w:sz w:val="22"/>
                <w:szCs w:val="22"/>
              </w:rPr>
              <w:t>841,0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FC4858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</w:t>
            </w:r>
            <w:r w:rsidR="00FC4858">
              <w:rPr>
                <w:sz w:val="22"/>
                <w:szCs w:val="22"/>
              </w:rPr>
              <w:t xml:space="preserve">2 </w:t>
            </w:r>
            <w:r w:rsidRPr="00350FC9">
              <w:rPr>
                <w:sz w:val="22"/>
                <w:szCs w:val="22"/>
              </w:rPr>
              <w:t>8</w:t>
            </w:r>
            <w:r w:rsidR="00FC4858">
              <w:rPr>
                <w:sz w:val="22"/>
                <w:szCs w:val="22"/>
              </w:rPr>
              <w:t>35</w:t>
            </w:r>
            <w:r w:rsidRPr="00350FC9">
              <w:rPr>
                <w:sz w:val="22"/>
                <w:szCs w:val="22"/>
              </w:rPr>
              <w:t>,</w:t>
            </w:r>
            <w:r w:rsidR="00FC4858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1355D7" w:rsidP="001355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</w:t>
            </w:r>
            <w:r w:rsidR="00747B70" w:rsidRPr="00350FC9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Увеличение затрат связано с ростом тарифов. В утверждённом тарифе 356,28 тенге/</w:t>
            </w:r>
            <w:proofErr w:type="spellStart"/>
            <w:r w:rsidRPr="00350FC9">
              <w:rPr>
                <w:sz w:val="22"/>
                <w:szCs w:val="22"/>
              </w:rPr>
              <w:t>м</w:t>
            </w:r>
            <w:proofErr w:type="gramStart"/>
            <w:r w:rsidRPr="00350FC9">
              <w:rPr>
                <w:sz w:val="22"/>
                <w:szCs w:val="22"/>
              </w:rPr>
              <w:t>.к</w:t>
            </w:r>
            <w:proofErr w:type="gramEnd"/>
            <w:r w:rsidRPr="00350FC9">
              <w:rPr>
                <w:sz w:val="22"/>
                <w:szCs w:val="22"/>
              </w:rPr>
              <w:t>уб</w:t>
            </w:r>
            <w:proofErr w:type="spellEnd"/>
            <w:r w:rsidRPr="00350FC9">
              <w:rPr>
                <w:sz w:val="22"/>
                <w:szCs w:val="22"/>
              </w:rPr>
              <w:t>. по факту 474,52 тенге/</w:t>
            </w:r>
            <w:proofErr w:type="spellStart"/>
            <w:r w:rsidRPr="00350FC9">
              <w:rPr>
                <w:sz w:val="22"/>
                <w:szCs w:val="22"/>
              </w:rPr>
              <w:t>м.куб</w:t>
            </w:r>
            <w:proofErr w:type="spellEnd"/>
            <w:r w:rsidRPr="00350FC9">
              <w:rPr>
                <w:sz w:val="22"/>
                <w:szCs w:val="22"/>
              </w:rPr>
              <w:t xml:space="preserve"> (Приказ ДКРЕМ и ЗК №129-ОД от 15.12.2016)</w:t>
            </w:r>
          </w:p>
        </w:tc>
      </w:tr>
      <w:tr w:rsidR="00747B70" w:rsidRPr="00350FC9" w:rsidTr="00FA728D">
        <w:trPr>
          <w:trHeight w:val="88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5.16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Плата в бюджет за воду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</w:t>
            </w:r>
            <w:r w:rsidR="00BF7E86">
              <w:rPr>
                <w:sz w:val="22"/>
                <w:szCs w:val="22"/>
              </w:rPr>
              <w:t xml:space="preserve"> </w:t>
            </w:r>
            <w:r w:rsidRPr="00350FC9">
              <w:rPr>
                <w:sz w:val="22"/>
                <w:szCs w:val="22"/>
              </w:rPr>
              <w:t>582,0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FC4858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2</w:t>
            </w:r>
            <w:r w:rsidR="00FC4858">
              <w:rPr>
                <w:sz w:val="22"/>
                <w:szCs w:val="22"/>
              </w:rPr>
              <w:t xml:space="preserve"> </w:t>
            </w:r>
            <w:r w:rsidRPr="00350FC9">
              <w:rPr>
                <w:sz w:val="22"/>
                <w:szCs w:val="22"/>
              </w:rPr>
              <w:t>7</w:t>
            </w:r>
            <w:r w:rsidR="00FC4858">
              <w:rPr>
                <w:sz w:val="22"/>
                <w:szCs w:val="22"/>
              </w:rPr>
              <w:t>15</w:t>
            </w:r>
            <w:r w:rsidRPr="00350FC9">
              <w:rPr>
                <w:sz w:val="22"/>
                <w:szCs w:val="22"/>
              </w:rPr>
              <w:t>,</w:t>
            </w:r>
            <w:r w:rsidR="00FC4858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1355D7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7</w:t>
            </w:r>
            <w:r w:rsidR="001355D7">
              <w:rPr>
                <w:b/>
                <w:bCs/>
                <w:sz w:val="22"/>
                <w:szCs w:val="22"/>
              </w:rPr>
              <w:t>1</w:t>
            </w:r>
            <w:r w:rsidRPr="00350FC9">
              <w:rPr>
                <w:b/>
                <w:bCs/>
                <w:sz w:val="22"/>
                <w:szCs w:val="22"/>
              </w:rPr>
              <w:t>,7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Увеличение связано с получением дополнительного разрешения на специальное водопользование оз. Белое</w:t>
            </w:r>
          </w:p>
        </w:tc>
      </w:tr>
      <w:tr w:rsidR="00747B70" w:rsidRPr="00350FC9" w:rsidTr="00FA728D">
        <w:trPr>
          <w:trHeight w:val="105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5.17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Плата за РЧС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FC4858" w:rsidP="00FC48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747B70" w:rsidRPr="00350FC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1355D7" w:rsidP="001355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</w:t>
            </w:r>
            <w:r w:rsidR="00747B70" w:rsidRPr="00350FC9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Увеличение связано с ростом МРП относительно утверждённого, так же с увеличением коэффициента распределения затрат на тепловую энергию</w:t>
            </w:r>
          </w:p>
        </w:tc>
      </w:tr>
      <w:tr w:rsidR="00747B70" w:rsidRPr="00350FC9" w:rsidTr="00FA728D">
        <w:trPr>
          <w:trHeight w:val="55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5.18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proofErr w:type="gramStart"/>
            <w:r w:rsidRPr="00350FC9">
              <w:rPr>
                <w:sz w:val="22"/>
                <w:szCs w:val="22"/>
              </w:rPr>
              <w:t>Комплектующие</w:t>
            </w:r>
            <w:proofErr w:type="gramEnd"/>
            <w:r w:rsidRPr="00350FC9">
              <w:rPr>
                <w:sz w:val="22"/>
                <w:szCs w:val="22"/>
              </w:rPr>
              <w:t xml:space="preserve"> к орг. технике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558,2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FC4858" w:rsidP="00FC48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898</w:t>
            </w:r>
            <w:r w:rsidR="00747B70" w:rsidRPr="00350FC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1355D7" w:rsidP="001355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  <w:r w:rsidR="00747B70" w:rsidRPr="00350FC9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За счёт увеличения стоимости закупаемых товаров</w:t>
            </w:r>
          </w:p>
        </w:tc>
      </w:tr>
      <w:tr w:rsidR="00747B70" w:rsidRPr="00350FC9" w:rsidTr="00FA728D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5.19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Канцелярские  расходы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661,3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FC4858" w:rsidP="00FC48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</w:t>
            </w:r>
            <w:r w:rsidR="00747B70" w:rsidRPr="00350FC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1355D7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6,5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За счёт увеличения стоимости закупаемых товаров</w:t>
            </w:r>
          </w:p>
        </w:tc>
      </w:tr>
      <w:tr w:rsidR="00747B70" w:rsidRPr="00350FC9" w:rsidTr="00FA728D">
        <w:trPr>
          <w:trHeight w:val="4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II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Расходы период</w:t>
            </w:r>
            <w:proofErr w:type="gramStart"/>
            <w:r w:rsidRPr="00350FC9">
              <w:rPr>
                <w:b/>
                <w:bCs/>
                <w:sz w:val="22"/>
                <w:szCs w:val="22"/>
              </w:rPr>
              <w:t>а-</w:t>
            </w:r>
            <w:proofErr w:type="gramEnd"/>
            <w:r w:rsidRPr="00350FC9">
              <w:rPr>
                <w:b/>
                <w:bCs/>
                <w:sz w:val="22"/>
                <w:szCs w:val="22"/>
              </w:rPr>
              <w:t xml:space="preserve"> всего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138</w:t>
            </w:r>
            <w:r w:rsidR="00BF7E86">
              <w:rPr>
                <w:b/>
                <w:bCs/>
                <w:sz w:val="22"/>
                <w:szCs w:val="22"/>
              </w:rPr>
              <w:t xml:space="preserve"> </w:t>
            </w:r>
            <w:r w:rsidRPr="00350FC9">
              <w:rPr>
                <w:b/>
                <w:bCs/>
                <w:sz w:val="22"/>
                <w:szCs w:val="22"/>
              </w:rPr>
              <w:t>272,5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F5131B" w:rsidP="00F513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264 259,9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1355D7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91,1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47B70" w:rsidRPr="00350FC9" w:rsidTr="00FA728D">
        <w:trPr>
          <w:trHeight w:val="5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 xml:space="preserve"> Общие и административные расходы   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138</w:t>
            </w:r>
            <w:r w:rsidR="00BF7E86">
              <w:rPr>
                <w:b/>
                <w:bCs/>
                <w:sz w:val="22"/>
                <w:szCs w:val="22"/>
              </w:rPr>
              <w:t xml:space="preserve"> </w:t>
            </w:r>
            <w:r w:rsidRPr="00350FC9">
              <w:rPr>
                <w:b/>
                <w:bCs/>
                <w:sz w:val="22"/>
                <w:szCs w:val="22"/>
              </w:rPr>
              <w:t>272,5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610B1B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610B1B">
              <w:rPr>
                <w:b/>
                <w:bCs/>
                <w:sz w:val="22"/>
                <w:szCs w:val="22"/>
              </w:rPr>
              <w:t>264 259,9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1355D7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91,1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47B70" w:rsidRPr="00350FC9" w:rsidTr="00FA728D">
        <w:trPr>
          <w:trHeight w:val="4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i/>
                <w:iCs/>
                <w:sz w:val="22"/>
                <w:szCs w:val="22"/>
              </w:rPr>
            </w:pPr>
            <w:r w:rsidRPr="00350FC9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i/>
                <w:iCs/>
                <w:sz w:val="22"/>
                <w:szCs w:val="22"/>
              </w:rPr>
            </w:pPr>
            <w:r w:rsidRPr="00350FC9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747B70" w:rsidRPr="00350FC9" w:rsidTr="00FA728D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 xml:space="preserve">   Оплата труда: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45</w:t>
            </w:r>
            <w:r w:rsidR="00BF7E86">
              <w:rPr>
                <w:b/>
                <w:bCs/>
                <w:sz w:val="22"/>
                <w:szCs w:val="22"/>
              </w:rPr>
              <w:t xml:space="preserve"> </w:t>
            </w:r>
            <w:r w:rsidRPr="00350FC9">
              <w:rPr>
                <w:b/>
                <w:bCs/>
                <w:sz w:val="22"/>
                <w:szCs w:val="22"/>
              </w:rPr>
              <w:t>125,0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4640A7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11</w:t>
            </w:r>
            <w:r w:rsidR="004640A7">
              <w:rPr>
                <w:b/>
                <w:bCs/>
                <w:sz w:val="22"/>
                <w:szCs w:val="22"/>
              </w:rPr>
              <w:t>9 381</w:t>
            </w:r>
            <w:r w:rsidRPr="00350FC9">
              <w:rPr>
                <w:b/>
                <w:bCs/>
                <w:sz w:val="22"/>
                <w:szCs w:val="22"/>
              </w:rPr>
              <w:t>,</w:t>
            </w:r>
            <w:r w:rsidR="004640A7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1355D7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1</w:t>
            </w:r>
            <w:r w:rsidR="001355D7">
              <w:rPr>
                <w:b/>
                <w:bCs/>
                <w:sz w:val="22"/>
                <w:szCs w:val="22"/>
              </w:rPr>
              <w:t>64</w:t>
            </w:r>
            <w:r w:rsidRPr="00350FC9">
              <w:rPr>
                <w:b/>
                <w:bCs/>
                <w:sz w:val="22"/>
                <w:szCs w:val="22"/>
              </w:rPr>
              <w:t>,</w:t>
            </w:r>
            <w:r w:rsidR="001355D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both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 xml:space="preserve">Связано с превышением фактической среднемесячной заработной платы </w:t>
            </w:r>
            <w:proofErr w:type="gramStart"/>
            <w:r w:rsidRPr="00350FC9">
              <w:rPr>
                <w:sz w:val="22"/>
                <w:szCs w:val="22"/>
              </w:rPr>
              <w:t>над</w:t>
            </w:r>
            <w:proofErr w:type="gramEnd"/>
            <w:r w:rsidRPr="00350FC9">
              <w:rPr>
                <w:sz w:val="22"/>
                <w:szCs w:val="22"/>
              </w:rPr>
              <w:t xml:space="preserve"> предусмотренной в действующем тарифе в целях сдерживания массового оттока квалифицированного персонала</w:t>
            </w:r>
          </w:p>
        </w:tc>
      </w:tr>
      <w:tr w:rsidR="00747B70" w:rsidRPr="00350FC9" w:rsidTr="00FA728D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i/>
                <w:iCs/>
                <w:sz w:val="22"/>
                <w:szCs w:val="22"/>
              </w:rPr>
            </w:pPr>
            <w:r w:rsidRPr="00350FC9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50FC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50FC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Административный   персонал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40</w:t>
            </w:r>
            <w:r w:rsidR="00BF7E86">
              <w:rPr>
                <w:sz w:val="22"/>
                <w:szCs w:val="22"/>
              </w:rPr>
              <w:t xml:space="preserve"> </w:t>
            </w:r>
            <w:r w:rsidRPr="00350FC9">
              <w:rPr>
                <w:sz w:val="22"/>
                <w:szCs w:val="22"/>
              </w:rPr>
              <w:t>771,0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4640A7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10</w:t>
            </w:r>
            <w:r w:rsidR="004640A7">
              <w:rPr>
                <w:sz w:val="22"/>
                <w:szCs w:val="22"/>
              </w:rPr>
              <w:t>8 317,0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1355D7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1</w:t>
            </w:r>
            <w:r w:rsidR="001355D7">
              <w:rPr>
                <w:b/>
                <w:bCs/>
                <w:sz w:val="22"/>
                <w:szCs w:val="22"/>
              </w:rPr>
              <w:t>6</w:t>
            </w:r>
            <w:r w:rsidRPr="00350FC9">
              <w:rPr>
                <w:b/>
                <w:bCs/>
                <w:sz w:val="22"/>
                <w:szCs w:val="22"/>
              </w:rPr>
              <w:t>5,</w:t>
            </w:r>
            <w:r w:rsidR="001355D7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Рабочие управления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3</w:t>
            </w:r>
            <w:r w:rsidR="00BF7E86">
              <w:rPr>
                <w:sz w:val="22"/>
                <w:szCs w:val="22"/>
              </w:rPr>
              <w:t xml:space="preserve"> </w:t>
            </w:r>
            <w:r w:rsidRPr="00350FC9">
              <w:rPr>
                <w:sz w:val="22"/>
                <w:szCs w:val="22"/>
              </w:rPr>
              <w:t>236,0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4640A7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8</w:t>
            </w:r>
            <w:r w:rsidR="004640A7">
              <w:rPr>
                <w:sz w:val="22"/>
                <w:szCs w:val="22"/>
              </w:rPr>
              <w:t xml:space="preserve"> 26</w:t>
            </w:r>
            <w:r w:rsidRPr="00350FC9">
              <w:rPr>
                <w:sz w:val="22"/>
                <w:szCs w:val="22"/>
              </w:rPr>
              <w:t>4,</w:t>
            </w:r>
            <w:r w:rsidR="004640A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1355D7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1</w:t>
            </w:r>
            <w:r w:rsidR="001355D7">
              <w:rPr>
                <w:b/>
                <w:bCs/>
                <w:sz w:val="22"/>
                <w:szCs w:val="22"/>
              </w:rPr>
              <w:t>55</w:t>
            </w:r>
            <w:r w:rsidRPr="00350FC9">
              <w:rPr>
                <w:b/>
                <w:bCs/>
                <w:sz w:val="22"/>
                <w:szCs w:val="22"/>
              </w:rPr>
              <w:t>,</w:t>
            </w:r>
            <w:r w:rsidR="001355D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4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Здравпункт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</w:t>
            </w:r>
            <w:r w:rsidR="00BF7E86">
              <w:rPr>
                <w:sz w:val="22"/>
                <w:szCs w:val="22"/>
              </w:rPr>
              <w:t xml:space="preserve"> </w:t>
            </w:r>
            <w:r w:rsidRPr="00350FC9">
              <w:rPr>
                <w:sz w:val="22"/>
                <w:szCs w:val="22"/>
              </w:rPr>
              <w:t>118,0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4640A7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2</w:t>
            </w:r>
            <w:r w:rsidR="004640A7">
              <w:rPr>
                <w:sz w:val="22"/>
                <w:szCs w:val="22"/>
              </w:rPr>
              <w:t xml:space="preserve"> 800</w:t>
            </w:r>
            <w:r w:rsidRPr="00350FC9">
              <w:rPr>
                <w:sz w:val="22"/>
                <w:szCs w:val="22"/>
              </w:rPr>
              <w:t>,</w:t>
            </w:r>
            <w:r w:rsidR="004640A7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1355D7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1</w:t>
            </w:r>
            <w:r w:rsidR="001355D7">
              <w:rPr>
                <w:b/>
                <w:bCs/>
                <w:sz w:val="22"/>
                <w:szCs w:val="22"/>
              </w:rPr>
              <w:t>50</w:t>
            </w:r>
            <w:r w:rsidRPr="00350FC9">
              <w:rPr>
                <w:b/>
                <w:bCs/>
                <w:sz w:val="22"/>
                <w:szCs w:val="22"/>
              </w:rPr>
              <w:t>,</w:t>
            </w:r>
            <w:r w:rsidR="001355D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Социальный налог, соц. отчисления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3</w:t>
            </w:r>
            <w:r w:rsidR="00BF7E86">
              <w:rPr>
                <w:b/>
                <w:bCs/>
                <w:sz w:val="22"/>
                <w:szCs w:val="22"/>
              </w:rPr>
              <w:t xml:space="preserve"> </w:t>
            </w:r>
            <w:r w:rsidRPr="00350FC9">
              <w:rPr>
                <w:b/>
                <w:bCs/>
                <w:sz w:val="22"/>
                <w:szCs w:val="22"/>
              </w:rPr>
              <w:t>858,2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4640A7" w:rsidP="004640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10 441</w:t>
            </w:r>
            <w:r w:rsidR="00747B70" w:rsidRPr="00350FC9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1355D7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1</w:t>
            </w:r>
            <w:r w:rsidR="001355D7">
              <w:rPr>
                <w:b/>
                <w:bCs/>
                <w:sz w:val="22"/>
                <w:szCs w:val="22"/>
              </w:rPr>
              <w:t>70</w:t>
            </w:r>
            <w:r w:rsidRPr="00350FC9">
              <w:rPr>
                <w:b/>
                <w:bCs/>
                <w:sz w:val="22"/>
                <w:szCs w:val="22"/>
              </w:rPr>
              <w:t>,</w:t>
            </w:r>
            <w:r w:rsidR="001355D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i/>
                <w:iCs/>
                <w:sz w:val="22"/>
                <w:szCs w:val="22"/>
              </w:rPr>
            </w:pPr>
            <w:r w:rsidRPr="00350FC9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50FC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50FC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6.2.1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3</w:t>
            </w:r>
            <w:r w:rsidR="00BF7E86">
              <w:rPr>
                <w:sz w:val="22"/>
                <w:szCs w:val="22"/>
              </w:rPr>
              <w:t xml:space="preserve"> </w:t>
            </w:r>
            <w:r w:rsidRPr="00350FC9">
              <w:rPr>
                <w:sz w:val="22"/>
                <w:szCs w:val="22"/>
              </w:rPr>
              <w:t>485,9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4640A7" w:rsidP="00464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9 480</w:t>
            </w:r>
            <w:r w:rsidR="00747B70" w:rsidRPr="00350FC9">
              <w:rPr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1355D7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172,0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48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6.2.2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Рабочие управления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276,7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4640A7" w:rsidP="00464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</w:t>
            </w:r>
            <w:r w:rsidR="00747B70" w:rsidRPr="00350FC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15</w:t>
            </w:r>
            <w:r w:rsidR="001355D7">
              <w:rPr>
                <w:b/>
                <w:bCs/>
                <w:sz w:val="22"/>
                <w:szCs w:val="22"/>
              </w:rPr>
              <w:t>9,8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lastRenderedPageBreak/>
              <w:t>6.2.3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Здравпункт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95,6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036802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2</w:t>
            </w:r>
            <w:r w:rsidR="00036802">
              <w:rPr>
                <w:sz w:val="22"/>
                <w:szCs w:val="22"/>
              </w:rPr>
              <w:t>41</w:t>
            </w:r>
            <w:r w:rsidRPr="00350FC9">
              <w:rPr>
                <w:sz w:val="22"/>
                <w:szCs w:val="22"/>
              </w:rPr>
              <w:t>,</w:t>
            </w:r>
            <w:r w:rsidR="00036802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1355D7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153,0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4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Обязательное социальное медицинское страхование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676,9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03680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1</w:t>
            </w:r>
            <w:r w:rsidR="00036802">
              <w:rPr>
                <w:b/>
                <w:bCs/>
                <w:sz w:val="22"/>
                <w:szCs w:val="22"/>
              </w:rPr>
              <w:t xml:space="preserve"> 166</w:t>
            </w:r>
            <w:r w:rsidRPr="00350FC9">
              <w:rPr>
                <w:b/>
                <w:bCs/>
                <w:sz w:val="22"/>
                <w:szCs w:val="22"/>
              </w:rPr>
              <w:t>,</w:t>
            </w:r>
            <w:r w:rsidR="0003680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1355D7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72,3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i/>
                <w:iCs/>
                <w:sz w:val="22"/>
                <w:szCs w:val="22"/>
              </w:rPr>
            </w:pPr>
            <w:r w:rsidRPr="00350FC9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6.3.1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036802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</w:t>
            </w:r>
            <w:r w:rsidR="00036802">
              <w:rPr>
                <w:sz w:val="22"/>
                <w:szCs w:val="22"/>
              </w:rPr>
              <w:t>035</w:t>
            </w:r>
            <w:r w:rsidRPr="00350FC9">
              <w:rPr>
                <w:sz w:val="22"/>
                <w:szCs w:val="22"/>
              </w:rPr>
              <w:t>,</w:t>
            </w:r>
            <w:r w:rsidR="00036802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1355D7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69,3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6.3.2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Рабочие управления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48,5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036802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88,</w:t>
            </w:r>
            <w:r w:rsidR="00036802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83,</w:t>
            </w:r>
            <w:r w:rsidR="001355D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6.3.3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Здравпункт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036802" w:rsidP="000368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747B70" w:rsidRPr="00350FC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1355D7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150,6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3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Налоговые платежи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42</w:t>
            </w:r>
            <w:r w:rsidR="00BF7E86">
              <w:rPr>
                <w:b/>
                <w:bCs/>
                <w:sz w:val="22"/>
                <w:szCs w:val="22"/>
              </w:rPr>
              <w:t xml:space="preserve"> </w:t>
            </w:r>
            <w:r w:rsidRPr="00350FC9">
              <w:rPr>
                <w:b/>
                <w:bCs/>
                <w:sz w:val="22"/>
                <w:szCs w:val="22"/>
              </w:rPr>
              <w:t>758,8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03680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6</w:t>
            </w:r>
            <w:r w:rsidR="00036802">
              <w:rPr>
                <w:b/>
                <w:bCs/>
                <w:sz w:val="22"/>
                <w:szCs w:val="22"/>
              </w:rPr>
              <w:t>6 601</w:t>
            </w:r>
            <w:r w:rsidRPr="00350FC9">
              <w:rPr>
                <w:b/>
                <w:bCs/>
                <w:sz w:val="22"/>
                <w:szCs w:val="22"/>
              </w:rPr>
              <w:t>,</w:t>
            </w:r>
            <w:r w:rsidR="00036802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1355D7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55,8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1355D7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 xml:space="preserve">Основные причины </w:t>
            </w:r>
            <w:proofErr w:type="spellStart"/>
            <w:r w:rsidRPr="00350FC9">
              <w:rPr>
                <w:sz w:val="22"/>
                <w:szCs w:val="22"/>
              </w:rPr>
              <w:t>переосвоения</w:t>
            </w:r>
            <w:proofErr w:type="spellEnd"/>
            <w:r w:rsidRPr="00350FC9">
              <w:rPr>
                <w:sz w:val="22"/>
                <w:szCs w:val="22"/>
              </w:rPr>
              <w:t>:                                                                                   - по налогу на имущество на 5</w:t>
            </w:r>
            <w:r w:rsidR="001355D7">
              <w:rPr>
                <w:sz w:val="22"/>
                <w:szCs w:val="22"/>
              </w:rPr>
              <w:t>8</w:t>
            </w:r>
            <w:r w:rsidRPr="00350FC9">
              <w:rPr>
                <w:sz w:val="22"/>
                <w:szCs w:val="22"/>
              </w:rPr>
              <w:t>,</w:t>
            </w:r>
            <w:r w:rsidR="001355D7">
              <w:rPr>
                <w:sz w:val="22"/>
                <w:szCs w:val="22"/>
              </w:rPr>
              <w:t>2</w:t>
            </w:r>
            <w:r w:rsidRPr="00350FC9">
              <w:rPr>
                <w:sz w:val="22"/>
                <w:szCs w:val="22"/>
              </w:rPr>
              <w:t xml:space="preserve">%, в связи с вводом основных средств;                                                                                                         - по налогу на транспорт на </w:t>
            </w:r>
            <w:r w:rsidR="001355D7">
              <w:rPr>
                <w:sz w:val="22"/>
                <w:szCs w:val="22"/>
              </w:rPr>
              <w:t>248</w:t>
            </w:r>
            <w:r w:rsidRPr="00350FC9">
              <w:rPr>
                <w:sz w:val="22"/>
                <w:szCs w:val="22"/>
              </w:rPr>
              <w:t>% , в связи с приобретением нового автомобиля.</w:t>
            </w:r>
          </w:p>
        </w:tc>
      </w:tr>
      <w:tr w:rsidR="00747B70" w:rsidRPr="00350FC9" w:rsidTr="00FA728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i/>
                <w:iCs/>
                <w:sz w:val="22"/>
                <w:szCs w:val="22"/>
              </w:rPr>
            </w:pPr>
            <w:r w:rsidRPr="00350FC9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49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6.4.1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 xml:space="preserve">   Налог на имущество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40</w:t>
            </w:r>
            <w:r w:rsidR="00BF7E86">
              <w:rPr>
                <w:sz w:val="22"/>
                <w:szCs w:val="22"/>
              </w:rPr>
              <w:t xml:space="preserve"> </w:t>
            </w:r>
            <w:r w:rsidRPr="00350FC9">
              <w:rPr>
                <w:sz w:val="22"/>
                <w:szCs w:val="22"/>
              </w:rPr>
              <w:t>686,0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036802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</w:t>
            </w:r>
            <w:r w:rsidR="00036802">
              <w:rPr>
                <w:sz w:val="22"/>
                <w:szCs w:val="22"/>
              </w:rPr>
              <w:t>4 357,0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1355D7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5</w:t>
            </w:r>
            <w:r w:rsidR="001355D7">
              <w:rPr>
                <w:b/>
                <w:bCs/>
                <w:sz w:val="22"/>
                <w:szCs w:val="22"/>
              </w:rPr>
              <w:t>8</w:t>
            </w:r>
            <w:r w:rsidRPr="00350FC9">
              <w:rPr>
                <w:b/>
                <w:bCs/>
                <w:sz w:val="22"/>
                <w:szCs w:val="22"/>
              </w:rPr>
              <w:t>,</w:t>
            </w:r>
            <w:r w:rsidR="001355D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45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6.4.2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 xml:space="preserve">   Налог на транспорт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44,2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036802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</w:t>
            </w:r>
            <w:r w:rsidR="00036802">
              <w:rPr>
                <w:sz w:val="22"/>
                <w:szCs w:val="22"/>
              </w:rPr>
              <w:t>53</w:t>
            </w:r>
            <w:r w:rsidRPr="00350FC9">
              <w:rPr>
                <w:sz w:val="22"/>
                <w:szCs w:val="22"/>
              </w:rPr>
              <w:t>,</w:t>
            </w:r>
            <w:r w:rsidR="00036802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1355D7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49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6.4.3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 xml:space="preserve">   Аренда земли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2</w:t>
            </w:r>
            <w:r w:rsidR="00BF7E86">
              <w:rPr>
                <w:sz w:val="22"/>
                <w:szCs w:val="22"/>
              </w:rPr>
              <w:t xml:space="preserve"> </w:t>
            </w:r>
            <w:r w:rsidRPr="00350FC9">
              <w:rPr>
                <w:sz w:val="22"/>
                <w:szCs w:val="22"/>
              </w:rPr>
              <w:t>028,6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9B338A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2</w:t>
            </w:r>
            <w:r w:rsidR="009B338A">
              <w:rPr>
                <w:sz w:val="22"/>
                <w:szCs w:val="22"/>
              </w:rPr>
              <w:t xml:space="preserve"> </w:t>
            </w:r>
            <w:r w:rsidRPr="00350FC9">
              <w:rPr>
                <w:sz w:val="22"/>
                <w:szCs w:val="22"/>
              </w:rPr>
              <w:t>0</w:t>
            </w:r>
            <w:r w:rsidR="009B338A">
              <w:rPr>
                <w:sz w:val="22"/>
                <w:szCs w:val="22"/>
              </w:rPr>
              <w:t>90</w:t>
            </w:r>
            <w:r w:rsidRPr="00350FC9">
              <w:rPr>
                <w:sz w:val="22"/>
                <w:szCs w:val="22"/>
              </w:rPr>
              <w:t>,</w:t>
            </w:r>
            <w:r w:rsidR="009B338A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1355D7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40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6.4.4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 xml:space="preserve">   Прочие налоги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45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Прочие расходы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45</w:t>
            </w:r>
            <w:r w:rsidR="00BF7E86">
              <w:rPr>
                <w:b/>
                <w:bCs/>
                <w:sz w:val="22"/>
                <w:szCs w:val="22"/>
              </w:rPr>
              <w:t xml:space="preserve"> </w:t>
            </w:r>
            <w:r w:rsidRPr="00350FC9">
              <w:rPr>
                <w:b/>
                <w:bCs/>
                <w:sz w:val="22"/>
                <w:szCs w:val="22"/>
              </w:rPr>
              <w:t>853,6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9B338A" w:rsidP="009B33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66 668</w:t>
            </w:r>
            <w:r w:rsidR="00747B70" w:rsidRPr="00350FC9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1355D7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45,4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47B70" w:rsidRPr="00350FC9" w:rsidTr="00FA728D">
        <w:trPr>
          <w:trHeight w:val="70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6.5.1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Командировочные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</w:t>
            </w:r>
            <w:r w:rsidR="00BF7E86">
              <w:rPr>
                <w:sz w:val="22"/>
                <w:szCs w:val="22"/>
              </w:rPr>
              <w:t xml:space="preserve"> </w:t>
            </w:r>
            <w:r w:rsidRPr="00350FC9">
              <w:rPr>
                <w:sz w:val="22"/>
                <w:szCs w:val="22"/>
              </w:rPr>
              <w:t>492,0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9B338A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8</w:t>
            </w:r>
            <w:r w:rsidR="009B338A">
              <w:rPr>
                <w:sz w:val="22"/>
                <w:szCs w:val="22"/>
              </w:rPr>
              <w:t xml:space="preserve"> 674</w:t>
            </w:r>
            <w:r w:rsidRPr="00350FC9">
              <w:rPr>
                <w:sz w:val="22"/>
                <w:szCs w:val="22"/>
              </w:rPr>
              <w:t>,</w:t>
            </w:r>
            <w:r w:rsidR="009B338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1355D7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481,4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B85F57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Увеличение затрат связано с ростом</w:t>
            </w:r>
            <w:r w:rsidR="00757E11">
              <w:rPr>
                <w:sz w:val="22"/>
                <w:szCs w:val="22"/>
              </w:rPr>
              <w:t xml:space="preserve"> количества командировок, также на рост затрат повлияло увеличение </w:t>
            </w:r>
            <w:r w:rsidR="00B85F57">
              <w:rPr>
                <w:sz w:val="22"/>
                <w:szCs w:val="22"/>
              </w:rPr>
              <w:t>стоимости</w:t>
            </w:r>
            <w:r w:rsidR="00757E11">
              <w:rPr>
                <w:sz w:val="22"/>
                <w:szCs w:val="22"/>
              </w:rPr>
              <w:t xml:space="preserve"> </w:t>
            </w:r>
            <w:r w:rsidR="00B85F57">
              <w:rPr>
                <w:sz w:val="22"/>
                <w:szCs w:val="22"/>
              </w:rPr>
              <w:t>на проезд</w:t>
            </w:r>
            <w:r w:rsidR="00757E11">
              <w:rPr>
                <w:sz w:val="22"/>
                <w:szCs w:val="22"/>
              </w:rPr>
              <w:t xml:space="preserve"> и услуги по проживанию</w:t>
            </w:r>
          </w:p>
        </w:tc>
      </w:tr>
      <w:tr w:rsidR="00747B70" w:rsidRPr="00350FC9" w:rsidTr="00FA728D">
        <w:trPr>
          <w:trHeight w:val="7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6.5.2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Расходы на периодическую печать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339,4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9B338A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37</w:t>
            </w:r>
            <w:r w:rsidR="009B338A">
              <w:rPr>
                <w:sz w:val="22"/>
                <w:szCs w:val="22"/>
              </w:rPr>
              <w:t>4</w:t>
            </w:r>
            <w:r w:rsidRPr="00350FC9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1355D7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Увеличение затрат связано с ростом стоимости услуг, относительно утверждённых в тарифе данных</w:t>
            </w:r>
          </w:p>
        </w:tc>
      </w:tr>
      <w:tr w:rsidR="00747B70" w:rsidRPr="00350FC9" w:rsidTr="00FA728D">
        <w:trPr>
          <w:trHeight w:val="138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6.5.3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3</w:t>
            </w:r>
            <w:r w:rsidR="00BF7E86">
              <w:rPr>
                <w:sz w:val="22"/>
                <w:szCs w:val="22"/>
              </w:rPr>
              <w:t xml:space="preserve"> </w:t>
            </w:r>
            <w:r w:rsidRPr="00350FC9">
              <w:rPr>
                <w:sz w:val="22"/>
                <w:szCs w:val="22"/>
              </w:rPr>
              <w:t>272,6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9B338A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4</w:t>
            </w:r>
            <w:r w:rsidR="009B338A">
              <w:rPr>
                <w:sz w:val="22"/>
                <w:szCs w:val="22"/>
              </w:rPr>
              <w:t xml:space="preserve"> 549</w:t>
            </w:r>
            <w:r w:rsidRPr="00350FC9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1355D7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Основной причиной роста затрат является увеличение тарифов на воду и канализацию. В утверждённом тарифе 356,28 тенге/</w:t>
            </w:r>
            <w:proofErr w:type="spellStart"/>
            <w:r w:rsidRPr="00350FC9">
              <w:rPr>
                <w:sz w:val="22"/>
                <w:szCs w:val="22"/>
              </w:rPr>
              <w:t>м</w:t>
            </w:r>
            <w:proofErr w:type="gramStart"/>
            <w:r w:rsidRPr="00350FC9">
              <w:rPr>
                <w:sz w:val="22"/>
                <w:szCs w:val="22"/>
              </w:rPr>
              <w:t>.к</w:t>
            </w:r>
            <w:proofErr w:type="gramEnd"/>
            <w:r w:rsidRPr="00350FC9">
              <w:rPr>
                <w:sz w:val="22"/>
                <w:szCs w:val="22"/>
              </w:rPr>
              <w:t>уб</w:t>
            </w:r>
            <w:proofErr w:type="spellEnd"/>
            <w:r w:rsidRPr="00350FC9">
              <w:rPr>
                <w:sz w:val="22"/>
                <w:szCs w:val="22"/>
              </w:rPr>
              <w:t>. по факту 474,52 тенге/</w:t>
            </w:r>
            <w:proofErr w:type="spellStart"/>
            <w:r w:rsidRPr="00350FC9">
              <w:rPr>
                <w:sz w:val="22"/>
                <w:szCs w:val="22"/>
              </w:rPr>
              <w:t>м.куб</w:t>
            </w:r>
            <w:proofErr w:type="spellEnd"/>
            <w:r w:rsidRPr="00350FC9">
              <w:rPr>
                <w:sz w:val="22"/>
                <w:szCs w:val="22"/>
              </w:rPr>
              <w:t xml:space="preserve"> (Приказ ДКРЕМ и ЗК №129-ОД от 15.12.2016г.)</w:t>
            </w:r>
          </w:p>
        </w:tc>
      </w:tr>
      <w:tr w:rsidR="00747B70" w:rsidRPr="00350FC9" w:rsidTr="00FA728D">
        <w:trPr>
          <w:trHeight w:val="49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6.5.4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</w:t>
            </w:r>
            <w:r w:rsidR="00BF7E86">
              <w:rPr>
                <w:sz w:val="22"/>
                <w:szCs w:val="22"/>
              </w:rPr>
              <w:t xml:space="preserve"> </w:t>
            </w:r>
            <w:r w:rsidRPr="00350FC9">
              <w:rPr>
                <w:sz w:val="22"/>
                <w:szCs w:val="22"/>
              </w:rPr>
              <w:t>205,2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9B338A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</w:t>
            </w:r>
            <w:r w:rsidR="009B338A">
              <w:rPr>
                <w:sz w:val="22"/>
                <w:szCs w:val="22"/>
              </w:rPr>
              <w:t xml:space="preserve"> </w:t>
            </w:r>
            <w:r w:rsidRPr="00350FC9">
              <w:rPr>
                <w:sz w:val="22"/>
                <w:szCs w:val="22"/>
              </w:rPr>
              <w:t>2</w:t>
            </w:r>
            <w:r w:rsidR="009B338A">
              <w:rPr>
                <w:sz w:val="22"/>
                <w:szCs w:val="22"/>
              </w:rPr>
              <w:t>45</w:t>
            </w:r>
            <w:r w:rsidRPr="00350FC9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2810D3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  <w:r w:rsidR="007B2420" w:rsidRPr="00350FC9">
              <w:rPr>
                <w:sz w:val="22"/>
                <w:szCs w:val="22"/>
              </w:rPr>
              <w:t>Увеличение затрат связано с ростом стоимости услуг, относительно утверждённых в тарифе данных</w:t>
            </w:r>
          </w:p>
        </w:tc>
      </w:tr>
      <w:tr w:rsidR="00747B70" w:rsidRPr="00350FC9" w:rsidTr="00FA728D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lastRenderedPageBreak/>
              <w:t>6.5.5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Услуги банка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4</w:t>
            </w:r>
            <w:r w:rsidR="00BF7E86">
              <w:rPr>
                <w:sz w:val="22"/>
                <w:szCs w:val="22"/>
              </w:rPr>
              <w:t xml:space="preserve"> </w:t>
            </w:r>
            <w:r w:rsidRPr="00350FC9">
              <w:rPr>
                <w:sz w:val="22"/>
                <w:szCs w:val="22"/>
              </w:rPr>
              <w:t>117,8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9B338A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4</w:t>
            </w:r>
            <w:r w:rsidR="009B338A">
              <w:rPr>
                <w:sz w:val="22"/>
                <w:szCs w:val="22"/>
              </w:rPr>
              <w:t xml:space="preserve"> 225</w:t>
            </w:r>
            <w:r w:rsidRPr="00350FC9">
              <w:rPr>
                <w:sz w:val="22"/>
                <w:szCs w:val="22"/>
              </w:rPr>
              <w:t>,</w:t>
            </w:r>
            <w:r w:rsidR="009B338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2810D3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40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6.5.6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 xml:space="preserve"> Амортизация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15</w:t>
            </w:r>
            <w:r w:rsidR="00BF7E86">
              <w:rPr>
                <w:sz w:val="22"/>
                <w:szCs w:val="22"/>
              </w:rPr>
              <w:t xml:space="preserve"> </w:t>
            </w:r>
            <w:r w:rsidRPr="00350FC9">
              <w:rPr>
                <w:sz w:val="22"/>
                <w:szCs w:val="22"/>
              </w:rPr>
              <w:t>383,0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9B338A" w:rsidP="009B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15 383,0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2810D3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6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6.5.7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Услуги аудита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</w:t>
            </w:r>
            <w:r w:rsidR="00BF7E86">
              <w:rPr>
                <w:sz w:val="22"/>
                <w:szCs w:val="22"/>
              </w:rPr>
              <w:t xml:space="preserve"> </w:t>
            </w:r>
            <w:r w:rsidRPr="00350FC9">
              <w:rPr>
                <w:sz w:val="22"/>
                <w:szCs w:val="22"/>
              </w:rPr>
              <w:t>392,0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7</w:t>
            </w:r>
            <w:r w:rsidR="009B338A">
              <w:rPr>
                <w:sz w:val="22"/>
                <w:szCs w:val="22"/>
              </w:rPr>
              <w:t xml:space="preserve"> </w:t>
            </w:r>
            <w:r w:rsidRPr="00350FC9">
              <w:rPr>
                <w:sz w:val="22"/>
                <w:szCs w:val="22"/>
              </w:rPr>
              <w:t>040,2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405,8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Увеличение затрат связано с ростом стоимости услуг, относительно утверждённых в тарифе данных</w:t>
            </w:r>
          </w:p>
        </w:tc>
      </w:tr>
      <w:tr w:rsidR="00747B70" w:rsidRPr="00350FC9" w:rsidTr="00FA728D">
        <w:trPr>
          <w:trHeight w:val="55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6.5.8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Услуги автотранспортных предприятий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</w:t>
            </w:r>
            <w:r w:rsidR="00BF7E86">
              <w:rPr>
                <w:sz w:val="22"/>
                <w:szCs w:val="22"/>
              </w:rPr>
              <w:t xml:space="preserve"> </w:t>
            </w:r>
            <w:r w:rsidRPr="00350FC9">
              <w:rPr>
                <w:sz w:val="22"/>
                <w:szCs w:val="22"/>
              </w:rPr>
              <w:t>572,9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9B338A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</w:t>
            </w:r>
            <w:r w:rsidR="009B338A">
              <w:rPr>
                <w:sz w:val="22"/>
                <w:szCs w:val="22"/>
              </w:rPr>
              <w:t xml:space="preserve"> 410</w:t>
            </w:r>
            <w:r w:rsidRPr="00350FC9">
              <w:rPr>
                <w:sz w:val="22"/>
                <w:szCs w:val="22"/>
              </w:rPr>
              <w:t>,</w:t>
            </w:r>
            <w:r w:rsidR="009B338A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2810D3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-2,5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</w:tr>
      <w:tr w:rsidR="00747B70" w:rsidRPr="00350FC9" w:rsidTr="00FA728D">
        <w:trPr>
          <w:trHeight w:val="64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6.5.9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Услуги пожарной охраны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486,3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9B338A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</w:t>
            </w:r>
            <w:r w:rsidR="009B338A">
              <w:rPr>
                <w:sz w:val="22"/>
                <w:szCs w:val="22"/>
              </w:rPr>
              <w:t xml:space="preserve"> </w:t>
            </w:r>
            <w:r w:rsidRPr="00350FC9">
              <w:rPr>
                <w:sz w:val="22"/>
                <w:szCs w:val="22"/>
              </w:rPr>
              <w:t>0</w:t>
            </w:r>
            <w:r w:rsidR="009B338A">
              <w:rPr>
                <w:sz w:val="22"/>
                <w:szCs w:val="22"/>
              </w:rPr>
              <w:t>52</w:t>
            </w:r>
            <w:r w:rsidRPr="00350FC9">
              <w:rPr>
                <w:sz w:val="22"/>
                <w:szCs w:val="22"/>
              </w:rPr>
              <w:t>,</w:t>
            </w:r>
            <w:r w:rsidR="009B338A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2810D3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116,5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Увеличение затрат связано с ростом стоимости услуг, относительно утверждённых в тарифе данных</w:t>
            </w:r>
          </w:p>
        </w:tc>
      </w:tr>
      <w:tr w:rsidR="00747B70" w:rsidRPr="00350FC9" w:rsidTr="00B85F57">
        <w:trPr>
          <w:trHeight w:val="6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6.5.10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Услуги охраны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</w:t>
            </w:r>
            <w:r w:rsidR="00BF7E86">
              <w:rPr>
                <w:sz w:val="22"/>
                <w:szCs w:val="22"/>
              </w:rPr>
              <w:t xml:space="preserve"> </w:t>
            </w:r>
            <w:r w:rsidRPr="00350FC9">
              <w:rPr>
                <w:sz w:val="22"/>
                <w:szCs w:val="22"/>
              </w:rPr>
              <w:t>449,3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CA7C2F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</w:t>
            </w:r>
            <w:r w:rsidR="00CA7C2F">
              <w:rPr>
                <w:sz w:val="22"/>
                <w:szCs w:val="22"/>
              </w:rPr>
              <w:t xml:space="preserve"> 503</w:t>
            </w:r>
            <w:r w:rsidRPr="00350FC9">
              <w:rPr>
                <w:sz w:val="22"/>
                <w:szCs w:val="22"/>
              </w:rPr>
              <w:t>,</w:t>
            </w:r>
            <w:r w:rsidR="00CA7C2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2810D3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75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6.5.11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Услуги пассажирского транспорта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881,8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CA7C2F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8</w:t>
            </w:r>
            <w:r w:rsidR="00CA7C2F">
              <w:rPr>
                <w:sz w:val="22"/>
                <w:szCs w:val="22"/>
              </w:rPr>
              <w:t>91</w:t>
            </w:r>
            <w:r w:rsidRPr="00350FC9">
              <w:rPr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2810D3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52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6.5.12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 xml:space="preserve">Услуги  </w:t>
            </w:r>
            <w:proofErr w:type="spellStart"/>
            <w:r w:rsidRPr="00350FC9">
              <w:rPr>
                <w:sz w:val="22"/>
                <w:szCs w:val="22"/>
              </w:rPr>
              <w:t>дезостанции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</w:tr>
      <w:tr w:rsidR="00747B70" w:rsidRPr="00350FC9" w:rsidTr="00FA728D">
        <w:trPr>
          <w:trHeight w:val="49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6.5.13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Услуги по вывозу мусора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215,7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CA7C2F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21</w:t>
            </w:r>
            <w:r w:rsidR="00CA7C2F">
              <w:rPr>
                <w:sz w:val="22"/>
                <w:szCs w:val="22"/>
              </w:rPr>
              <w:t>7</w:t>
            </w:r>
            <w:r w:rsidRPr="00350FC9">
              <w:rPr>
                <w:sz w:val="22"/>
                <w:szCs w:val="22"/>
              </w:rPr>
              <w:t>,</w:t>
            </w:r>
            <w:r w:rsidR="00CA7C2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2810D3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0,</w:t>
            </w:r>
            <w:r w:rsidR="002810D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</w:tr>
      <w:tr w:rsidR="00747B70" w:rsidRPr="00350FC9" w:rsidTr="00FA728D">
        <w:trPr>
          <w:trHeight w:val="49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6.5.14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proofErr w:type="gramStart"/>
            <w:r w:rsidRPr="00350FC9">
              <w:rPr>
                <w:sz w:val="22"/>
                <w:szCs w:val="22"/>
              </w:rPr>
              <w:t>Комплектующие</w:t>
            </w:r>
            <w:proofErr w:type="gramEnd"/>
            <w:r w:rsidRPr="00350FC9">
              <w:rPr>
                <w:sz w:val="22"/>
                <w:szCs w:val="22"/>
              </w:rPr>
              <w:t xml:space="preserve"> к орг. технике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</w:tr>
      <w:tr w:rsidR="00747B70" w:rsidRPr="00350FC9" w:rsidTr="00B7605D">
        <w:trPr>
          <w:trHeight w:val="45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6.5.15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Канцелярские  расходы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</w:t>
            </w:r>
            <w:r w:rsidR="00BF7E86">
              <w:rPr>
                <w:sz w:val="22"/>
                <w:szCs w:val="22"/>
              </w:rPr>
              <w:t xml:space="preserve"> </w:t>
            </w:r>
            <w:r w:rsidRPr="00350FC9">
              <w:rPr>
                <w:sz w:val="22"/>
                <w:szCs w:val="22"/>
              </w:rPr>
              <w:t>594,4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CA7C2F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</w:t>
            </w:r>
            <w:r w:rsidR="00CA7C2F">
              <w:rPr>
                <w:sz w:val="22"/>
                <w:szCs w:val="22"/>
              </w:rPr>
              <w:t xml:space="preserve"> </w:t>
            </w:r>
            <w:r w:rsidRPr="00350FC9">
              <w:rPr>
                <w:sz w:val="22"/>
                <w:szCs w:val="22"/>
              </w:rPr>
              <w:t>6</w:t>
            </w:r>
            <w:r w:rsidR="00CA7C2F">
              <w:rPr>
                <w:sz w:val="22"/>
                <w:szCs w:val="22"/>
              </w:rPr>
              <w:t>15</w:t>
            </w:r>
            <w:r w:rsidRPr="00350FC9">
              <w:rPr>
                <w:sz w:val="22"/>
                <w:szCs w:val="22"/>
              </w:rPr>
              <w:t>,</w:t>
            </w:r>
            <w:r w:rsidR="00CA7C2F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2810D3" w:rsidP="002810D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747B70" w:rsidRPr="00350FC9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6.5.16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Содержание зданий, сооружений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929,0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CA7C2F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3</w:t>
            </w:r>
            <w:r w:rsidR="00CA7C2F">
              <w:rPr>
                <w:sz w:val="22"/>
                <w:szCs w:val="22"/>
              </w:rPr>
              <w:t xml:space="preserve"> </w:t>
            </w:r>
            <w:r w:rsidRPr="00350FC9">
              <w:rPr>
                <w:sz w:val="22"/>
                <w:szCs w:val="22"/>
              </w:rPr>
              <w:t>5</w:t>
            </w:r>
            <w:r w:rsidR="00CA7C2F">
              <w:rPr>
                <w:sz w:val="22"/>
                <w:szCs w:val="22"/>
              </w:rPr>
              <w:t>05</w:t>
            </w:r>
            <w:r w:rsidRPr="00350FC9">
              <w:rPr>
                <w:sz w:val="22"/>
                <w:szCs w:val="22"/>
              </w:rPr>
              <w:t>,</w:t>
            </w:r>
            <w:r w:rsidR="00CA7C2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2810D3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277,4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Связано с увеличением расхода материалов, а так же с ростом цен</w:t>
            </w:r>
          </w:p>
        </w:tc>
      </w:tr>
      <w:tr w:rsidR="00747B70" w:rsidRPr="00350FC9" w:rsidTr="00FA728D">
        <w:trPr>
          <w:trHeight w:val="45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6.5.17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 xml:space="preserve"> Подготовка кадров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659,7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CA7C2F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66</w:t>
            </w:r>
            <w:r w:rsidR="00CA7C2F">
              <w:rPr>
                <w:sz w:val="22"/>
                <w:szCs w:val="22"/>
              </w:rPr>
              <w:t>6</w:t>
            </w:r>
            <w:r w:rsidRPr="00350FC9">
              <w:rPr>
                <w:sz w:val="22"/>
                <w:szCs w:val="22"/>
              </w:rPr>
              <w:t>,</w:t>
            </w:r>
            <w:r w:rsidR="00CA7C2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2810D3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</w:tr>
      <w:tr w:rsidR="00747B70" w:rsidRPr="00350FC9" w:rsidTr="00FA728D">
        <w:trPr>
          <w:trHeight w:val="7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6.5.18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Расходы по охране труда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993,2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CA7C2F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</w:t>
            </w:r>
            <w:r w:rsidR="00CA7C2F">
              <w:rPr>
                <w:sz w:val="22"/>
                <w:szCs w:val="22"/>
              </w:rPr>
              <w:t xml:space="preserve"> </w:t>
            </w:r>
            <w:r w:rsidRPr="00350FC9">
              <w:rPr>
                <w:sz w:val="22"/>
                <w:szCs w:val="22"/>
              </w:rPr>
              <w:t>0</w:t>
            </w:r>
            <w:r w:rsidR="00CA7C2F">
              <w:rPr>
                <w:sz w:val="22"/>
                <w:szCs w:val="22"/>
              </w:rPr>
              <w:t>37</w:t>
            </w:r>
            <w:r w:rsidRPr="00350FC9">
              <w:rPr>
                <w:sz w:val="22"/>
                <w:szCs w:val="22"/>
              </w:rPr>
              <w:t>,</w:t>
            </w:r>
            <w:r w:rsidR="00CA7C2F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2810D3" w:rsidP="002810D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4,5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proofErr w:type="spellStart"/>
            <w:r w:rsidRPr="00350FC9">
              <w:rPr>
                <w:sz w:val="22"/>
                <w:szCs w:val="22"/>
              </w:rPr>
              <w:t>Переосвоение</w:t>
            </w:r>
            <w:proofErr w:type="spellEnd"/>
            <w:r w:rsidRPr="00350FC9">
              <w:rPr>
                <w:sz w:val="22"/>
                <w:szCs w:val="22"/>
              </w:rPr>
              <w:t xml:space="preserve"> связано с ростом цен на спец. одежду, спец. обувь, защитные средства и спец. жиры</w:t>
            </w:r>
          </w:p>
        </w:tc>
      </w:tr>
      <w:tr w:rsidR="00747B70" w:rsidRPr="00350FC9" w:rsidTr="00FA728D">
        <w:trPr>
          <w:trHeight w:val="67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6.5.19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 xml:space="preserve">Износ по нематериальным активам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214F30" w:rsidP="00747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2810D3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7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6.5.20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Услуги по страхованию ГПО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</w:t>
            </w:r>
            <w:r w:rsidR="00BF7E86">
              <w:rPr>
                <w:sz w:val="22"/>
                <w:szCs w:val="22"/>
              </w:rPr>
              <w:t xml:space="preserve"> </w:t>
            </w:r>
            <w:r w:rsidRPr="00350FC9">
              <w:rPr>
                <w:sz w:val="22"/>
                <w:szCs w:val="22"/>
              </w:rPr>
              <w:t>897,0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214F3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4</w:t>
            </w:r>
            <w:r w:rsidR="00214F30">
              <w:rPr>
                <w:sz w:val="22"/>
                <w:szCs w:val="22"/>
              </w:rPr>
              <w:t xml:space="preserve"> 601</w:t>
            </w:r>
            <w:r w:rsidRPr="00350FC9">
              <w:rPr>
                <w:sz w:val="22"/>
                <w:szCs w:val="22"/>
              </w:rPr>
              <w:t>,</w:t>
            </w:r>
            <w:r w:rsidR="00214F30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2810D3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142,6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B85F57" w:rsidP="00B85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</w:t>
            </w:r>
            <w:r w:rsidR="00747B70" w:rsidRPr="00350FC9">
              <w:rPr>
                <w:sz w:val="22"/>
                <w:szCs w:val="22"/>
              </w:rPr>
              <w:t xml:space="preserve"> затрат связан с </w:t>
            </w:r>
            <w:r>
              <w:rPr>
                <w:sz w:val="22"/>
                <w:szCs w:val="22"/>
              </w:rPr>
              <w:t>увеличением фонда оплаты труда</w:t>
            </w:r>
            <w:r w:rsidR="00747B70" w:rsidRPr="00350FC9">
              <w:rPr>
                <w:sz w:val="22"/>
                <w:szCs w:val="22"/>
              </w:rPr>
              <w:t>, относительно утверждённых в тарифе данных</w:t>
            </w:r>
          </w:p>
        </w:tc>
      </w:tr>
      <w:tr w:rsidR="00747B70" w:rsidRPr="00350FC9" w:rsidTr="00FA728D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6.5.21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Расходы по техдокументации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</w:tr>
      <w:tr w:rsidR="00747B70" w:rsidRPr="00350FC9" w:rsidTr="00FA728D">
        <w:trPr>
          <w:trHeight w:val="7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lastRenderedPageBreak/>
              <w:t>6.5.22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Услуги СМИ на размещение объявлений производственного характера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293,3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214F30" w:rsidP="00214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</w:t>
            </w:r>
            <w:r w:rsidR="00747B70" w:rsidRPr="00350FC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2810D3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11,7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Увеличение затрат связано с ростом стоимости услуг, относительно утверждённых в тарифе данных</w:t>
            </w:r>
          </w:p>
        </w:tc>
      </w:tr>
      <w:tr w:rsidR="00747B70" w:rsidRPr="00350FC9" w:rsidTr="00FA728D">
        <w:trPr>
          <w:trHeight w:val="4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6.5.23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Услуги библиотеки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</w:tr>
      <w:tr w:rsidR="00747B70" w:rsidRPr="00350FC9" w:rsidTr="00FA728D">
        <w:trPr>
          <w:trHeight w:val="48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6.5.24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proofErr w:type="spellStart"/>
            <w:r w:rsidRPr="00350FC9">
              <w:rPr>
                <w:sz w:val="22"/>
                <w:szCs w:val="22"/>
              </w:rPr>
              <w:t>Энергоаудит</w:t>
            </w:r>
            <w:proofErr w:type="spellEnd"/>
            <w:r w:rsidRPr="00350FC9">
              <w:rPr>
                <w:sz w:val="22"/>
                <w:szCs w:val="22"/>
              </w:rPr>
              <w:t xml:space="preserve"> энергосбережения и повышение </w:t>
            </w:r>
            <w:proofErr w:type="spellStart"/>
            <w:r w:rsidRPr="00350FC9">
              <w:rPr>
                <w:sz w:val="22"/>
                <w:szCs w:val="22"/>
              </w:rPr>
              <w:t>энергоэффективности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</w:tr>
      <w:tr w:rsidR="00747B70" w:rsidRPr="00350FC9" w:rsidTr="00FA728D">
        <w:trPr>
          <w:trHeight w:val="48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6.5.25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Информационное обеспечение (АО "</w:t>
            </w:r>
            <w:proofErr w:type="spellStart"/>
            <w:r w:rsidRPr="00350FC9">
              <w:rPr>
                <w:sz w:val="22"/>
                <w:szCs w:val="22"/>
              </w:rPr>
              <w:t>НаЦЭкС</w:t>
            </w:r>
            <w:proofErr w:type="spellEnd"/>
            <w:r w:rsidRPr="00350FC9">
              <w:rPr>
                <w:sz w:val="22"/>
                <w:szCs w:val="22"/>
              </w:rPr>
              <w:t>")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</w:tr>
      <w:tr w:rsidR="00747B70" w:rsidRPr="00350FC9" w:rsidTr="00FA728D">
        <w:trPr>
          <w:trHeight w:val="7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6.5.26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Услуги почты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502,0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214F30" w:rsidP="00214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</w:t>
            </w:r>
            <w:r w:rsidR="00747B70" w:rsidRPr="00350FC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017728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41,3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Увеличение затрат связано с ростом стоимости услуг, относительно утверждённых в тарифе данных</w:t>
            </w:r>
          </w:p>
        </w:tc>
      </w:tr>
      <w:tr w:rsidR="00747B70" w:rsidRPr="00350FC9" w:rsidTr="00FA728D">
        <w:trPr>
          <w:trHeight w:val="45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6.5.27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Услуги нотариальные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25,1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214F3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</w:t>
            </w:r>
            <w:r w:rsidR="00214F30">
              <w:rPr>
                <w:sz w:val="22"/>
                <w:szCs w:val="22"/>
              </w:rPr>
              <w:t>10</w:t>
            </w:r>
            <w:r w:rsidRPr="00350FC9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017728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338,2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both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За счёт увеличения объёма оказываемых услуг</w:t>
            </w:r>
          </w:p>
        </w:tc>
      </w:tr>
      <w:tr w:rsidR="00747B70" w:rsidRPr="00350FC9" w:rsidTr="00FA728D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6.5.28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Услуги по ведению реестра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214F3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</w:t>
            </w:r>
            <w:r w:rsidR="00214F30">
              <w:rPr>
                <w:sz w:val="22"/>
                <w:szCs w:val="22"/>
              </w:rPr>
              <w:t>72</w:t>
            </w:r>
            <w:r w:rsidRPr="00350FC9">
              <w:rPr>
                <w:sz w:val="22"/>
                <w:szCs w:val="22"/>
              </w:rPr>
              <w:t>,</w:t>
            </w:r>
            <w:r w:rsidR="00214F30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017728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260,2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both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За счёт увеличения объёма оказываемых услуг</w:t>
            </w:r>
          </w:p>
        </w:tc>
      </w:tr>
      <w:tr w:rsidR="00747B70" w:rsidRPr="00350FC9" w:rsidTr="00FA728D">
        <w:trPr>
          <w:trHeight w:val="7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6.5.29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Услуги стандартизации и метрологии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44,5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214F3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44,</w:t>
            </w:r>
            <w:r w:rsidR="00214F30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017728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0,</w:t>
            </w:r>
            <w:r w:rsidR="00017728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both"/>
              <w:rPr>
                <w:sz w:val="22"/>
                <w:szCs w:val="22"/>
              </w:rPr>
            </w:pPr>
          </w:p>
        </w:tc>
      </w:tr>
      <w:tr w:rsidR="00747B70" w:rsidRPr="00350FC9" w:rsidTr="00FA728D">
        <w:trPr>
          <w:trHeight w:val="145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6.5.30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 xml:space="preserve"> Содержание здравпункта ( за минусом затрат по з/</w:t>
            </w:r>
            <w:proofErr w:type="spellStart"/>
            <w:proofErr w:type="gramStart"/>
            <w:r w:rsidRPr="00350FC9">
              <w:rPr>
                <w:sz w:val="22"/>
                <w:szCs w:val="22"/>
              </w:rPr>
              <w:t>пл</w:t>
            </w:r>
            <w:proofErr w:type="spellEnd"/>
            <w:proofErr w:type="gramEnd"/>
            <w:r w:rsidRPr="00350FC9">
              <w:rPr>
                <w:sz w:val="22"/>
                <w:szCs w:val="22"/>
              </w:rPr>
              <w:t xml:space="preserve">, с/нал, </w:t>
            </w:r>
            <w:proofErr w:type="spellStart"/>
            <w:r w:rsidRPr="00350FC9">
              <w:rPr>
                <w:sz w:val="22"/>
                <w:szCs w:val="22"/>
              </w:rPr>
              <w:t>обяз</w:t>
            </w:r>
            <w:proofErr w:type="spellEnd"/>
            <w:r w:rsidRPr="00350FC9">
              <w:rPr>
                <w:sz w:val="22"/>
                <w:szCs w:val="22"/>
              </w:rPr>
              <w:t xml:space="preserve">. </w:t>
            </w:r>
            <w:proofErr w:type="spellStart"/>
            <w:r w:rsidRPr="00350FC9">
              <w:rPr>
                <w:sz w:val="22"/>
                <w:szCs w:val="22"/>
              </w:rPr>
              <w:t>стр</w:t>
            </w:r>
            <w:proofErr w:type="spellEnd"/>
            <w:r w:rsidRPr="00350FC9">
              <w:rPr>
                <w:sz w:val="22"/>
                <w:szCs w:val="22"/>
              </w:rPr>
              <w:t xml:space="preserve">, </w:t>
            </w:r>
            <w:proofErr w:type="spellStart"/>
            <w:r w:rsidRPr="00350FC9">
              <w:rPr>
                <w:sz w:val="22"/>
                <w:szCs w:val="22"/>
              </w:rPr>
              <w:t>осмс</w:t>
            </w:r>
            <w:proofErr w:type="spellEnd"/>
            <w:r w:rsidRPr="00350FC9">
              <w:rPr>
                <w:sz w:val="22"/>
                <w:szCs w:val="22"/>
              </w:rPr>
              <w:t>, коммунальных услуг, амортизации)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214F3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35</w:t>
            </w:r>
            <w:r w:rsidR="00214F30">
              <w:rPr>
                <w:sz w:val="22"/>
                <w:szCs w:val="22"/>
              </w:rPr>
              <w:t>9</w:t>
            </w:r>
            <w:r w:rsidRPr="00350FC9">
              <w:rPr>
                <w:sz w:val="22"/>
                <w:szCs w:val="22"/>
              </w:rPr>
              <w:t>,</w:t>
            </w:r>
            <w:r w:rsidR="00214F30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017728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224,2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both"/>
              <w:rPr>
                <w:sz w:val="22"/>
                <w:szCs w:val="22"/>
              </w:rPr>
            </w:pPr>
            <w:proofErr w:type="spellStart"/>
            <w:r w:rsidRPr="00350FC9">
              <w:rPr>
                <w:sz w:val="22"/>
                <w:szCs w:val="22"/>
              </w:rPr>
              <w:t>Переосвоение</w:t>
            </w:r>
            <w:proofErr w:type="spellEnd"/>
            <w:r w:rsidRPr="00350FC9">
              <w:rPr>
                <w:sz w:val="22"/>
                <w:szCs w:val="22"/>
              </w:rPr>
              <w:t xml:space="preserve"> связано с ростом стоимости услуг по обслуживанию мед</w:t>
            </w:r>
            <w:proofErr w:type="gramStart"/>
            <w:r w:rsidRPr="00350FC9">
              <w:rPr>
                <w:sz w:val="22"/>
                <w:szCs w:val="22"/>
              </w:rPr>
              <w:t>.</w:t>
            </w:r>
            <w:proofErr w:type="gramEnd"/>
            <w:r w:rsidRPr="00350FC9">
              <w:rPr>
                <w:sz w:val="22"/>
                <w:szCs w:val="22"/>
              </w:rPr>
              <w:t xml:space="preserve"> </w:t>
            </w:r>
            <w:proofErr w:type="gramStart"/>
            <w:r w:rsidRPr="00350FC9">
              <w:rPr>
                <w:sz w:val="22"/>
                <w:szCs w:val="22"/>
              </w:rPr>
              <w:t>о</w:t>
            </w:r>
            <w:proofErr w:type="gramEnd"/>
            <w:r w:rsidRPr="00350FC9">
              <w:rPr>
                <w:sz w:val="22"/>
                <w:szCs w:val="22"/>
              </w:rPr>
              <w:t>борудования, утилизации мед. отходов, а так же увеличением цен на материалы для содержания здравпункта, относительно утвержденных в тарифе данных</w:t>
            </w:r>
          </w:p>
        </w:tc>
      </w:tr>
      <w:tr w:rsidR="00747B70" w:rsidRPr="00350FC9" w:rsidTr="00FA728D">
        <w:trPr>
          <w:trHeight w:val="78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6.5.31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 xml:space="preserve">Проведение верификации отчетов инвентаризации парниковых газов с оформлением сопутствующих документов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1 076,1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1 076,1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</w:tr>
      <w:tr w:rsidR="00747B70" w:rsidRPr="00350FC9" w:rsidTr="00FA728D">
        <w:trPr>
          <w:trHeight w:val="7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6.5.32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 xml:space="preserve">Проведение инвентаризации выбросов парниковых газов и </w:t>
            </w:r>
            <w:proofErr w:type="spellStart"/>
            <w:r w:rsidRPr="00350FC9">
              <w:rPr>
                <w:sz w:val="22"/>
                <w:szCs w:val="22"/>
              </w:rPr>
              <w:t>озоноразрушающих</w:t>
            </w:r>
            <w:proofErr w:type="spellEnd"/>
            <w:r w:rsidRPr="00350FC9">
              <w:rPr>
                <w:sz w:val="22"/>
                <w:szCs w:val="22"/>
              </w:rPr>
              <w:t xml:space="preserve"> веществ с оформлением сопутствующих документов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801,3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801,3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</w:tr>
      <w:tr w:rsidR="00747B70" w:rsidRPr="00350FC9" w:rsidTr="00FA728D">
        <w:trPr>
          <w:trHeight w:val="78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III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 xml:space="preserve"> Всего затрат на предоставление услуг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3 382 201,5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21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4 2</w:t>
            </w:r>
            <w:r w:rsidR="00214F30">
              <w:rPr>
                <w:b/>
                <w:bCs/>
                <w:sz w:val="22"/>
                <w:szCs w:val="22"/>
              </w:rPr>
              <w:t>17</w:t>
            </w:r>
            <w:r w:rsidRPr="00350FC9">
              <w:rPr>
                <w:b/>
                <w:bCs/>
                <w:sz w:val="22"/>
                <w:szCs w:val="22"/>
              </w:rPr>
              <w:t xml:space="preserve"> </w:t>
            </w:r>
            <w:r w:rsidR="00214F30">
              <w:rPr>
                <w:b/>
                <w:bCs/>
                <w:sz w:val="22"/>
                <w:szCs w:val="22"/>
              </w:rPr>
              <w:t>049</w:t>
            </w:r>
            <w:r w:rsidRPr="00350FC9">
              <w:rPr>
                <w:b/>
                <w:bCs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017728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24,7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47B70" w:rsidRPr="00350FC9" w:rsidTr="00FA728D">
        <w:trPr>
          <w:trHeight w:val="79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IV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ДУП без КПН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217 211,0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21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-</w:t>
            </w:r>
            <w:r w:rsidR="00214F30">
              <w:rPr>
                <w:b/>
                <w:bCs/>
                <w:sz w:val="22"/>
                <w:szCs w:val="22"/>
              </w:rPr>
              <w:t>500</w:t>
            </w:r>
            <w:r w:rsidRPr="00350FC9">
              <w:rPr>
                <w:b/>
                <w:bCs/>
                <w:sz w:val="22"/>
                <w:szCs w:val="22"/>
              </w:rPr>
              <w:t xml:space="preserve"> </w:t>
            </w:r>
            <w:r w:rsidR="00214F30">
              <w:rPr>
                <w:b/>
                <w:bCs/>
                <w:sz w:val="22"/>
                <w:szCs w:val="22"/>
              </w:rPr>
              <w:t>933</w:t>
            </w:r>
            <w:r w:rsidRPr="00350FC9">
              <w:rPr>
                <w:b/>
                <w:bCs/>
                <w:sz w:val="22"/>
                <w:szCs w:val="22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017728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-</w:t>
            </w:r>
            <w:r w:rsidR="00017728">
              <w:rPr>
                <w:b/>
                <w:bCs/>
                <w:sz w:val="22"/>
                <w:szCs w:val="22"/>
              </w:rPr>
              <w:t>330,6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47B70" w:rsidRPr="00350FC9" w:rsidTr="00FA728D">
        <w:trPr>
          <w:trHeight w:val="9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lastRenderedPageBreak/>
              <w:t>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Регулируемая база задействованных активов (РБА)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9 701 617,0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715F7C" w:rsidRDefault="00751F59" w:rsidP="00715F7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18 </w:t>
            </w:r>
            <w:r w:rsidR="00715F7C">
              <w:rPr>
                <w:sz w:val="22"/>
                <w:szCs w:val="22"/>
                <w:lang w:val="en-US"/>
              </w:rPr>
              <w:t>522</w:t>
            </w:r>
            <w:r>
              <w:rPr>
                <w:sz w:val="22"/>
                <w:szCs w:val="22"/>
              </w:rPr>
              <w:t> </w:t>
            </w:r>
            <w:r w:rsidR="00715F7C">
              <w:rPr>
                <w:sz w:val="22"/>
                <w:szCs w:val="22"/>
                <w:lang w:val="en-US"/>
              </w:rPr>
              <w:t>515</w:t>
            </w:r>
            <w:r>
              <w:rPr>
                <w:sz w:val="22"/>
                <w:szCs w:val="22"/>
              </w:rPr>
              <w:t>,</w:t>
            </w:r>
            <w:r w:rsidR="00715F7C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51F59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90,6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47B70" w:rsidRPr="00350FC9" w:rsidTr="00FA728D">
        <w:trPr>
          <w:trHeight w:val="6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VI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3 599 412,5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21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 xml:space="preserve">3 </w:t>
            </w:r>
            <w:r w:rsidR="00214F30">
              <w:rPr>
                <w:b/>
                <w:bCs/>
                <w:sz w:val="22"/>
                <w:szCs w:val="22"/>
              </w:rPr>
              <w:t>716</w:t>
            </w:r>
            <w:r w:rsidRPr="00350FC9">
              <w:rPr>
                <w:b/>
                <w:bCs/>
                <w:sz w:val="22"/>
                <w:szCs w:val="22"/>
              </w:rPr>
              <w:t xml:space="preserve"> </w:t>
            </w:r>
            <w:r w:rsidR="00214F30">
              <w:rPr>
                <w:b/>
                <w:bCs/>
                <w:sz w:val="22"/>
                <w:szCs w:val="22"/>
              </w:rPr>
              <w:t>115</w:t>
            </w:r>
            <w:r w:rsidRPr="00350FC9">
              <w:rPr>
                <w:b/>
                <w:bCs/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017728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47B70" w:rsidRPr="00350FC9" w:rsidTr="00FA728D">
        <w:trPr>
          <w:trHeight w:val="6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VII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Объем оказываемых  услуг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тыс. Гкал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1803,874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214F3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18</w:t>
            </w:r>
            <w:r w:rsidR="00214F30">
              <w:rPr>
                <w:sz w:val="22"/>
                <w:szCs w:val="22"/>
              </w:rPr>
              <w:t>92</w:t>
            </w:r>
            <w:r w:rsidRPr="00350FC9">
              <w:rPr>
                <w:sz w:val="22"/>
                <w:szCs w:val="22"/>
              </w:rPr>
              <w:t>,</w:t>
            </w:r>
            <w:r w:rsidR="00214F30">
              <w:rPr>
                <w:sz w:val="22"/>
                <w:szCs w:val="22"/>
              </w:rPr>
              <w:t>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017728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4,9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47B70" w:rsidRPr="00350FC9" w:rsidTr="00FA728D">
        <w:trPr>
          <w:trHeight w:val="6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VIII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Нормативно-технические потери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% / тыс. Гкал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47B70" w:rsidRPr="00350FC9" w:rsidTr="00FA728D">
        <w:trPr>
          <w:trHeight w:val="55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IX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Тариф (цена, ставка сбора) без НДС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тенге/Гкал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1 995,38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51" w:rsidRDefault="00226851" w:rsidP="00214F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1939</w:t>
            </w:r>
            <w:r>
              <w:rPr>
                <w:b/>
                <w:bCs/>
                <w:sz w:val="22"/>
                <w:szCs w:val="22"/>
              </w:rPr>
              <w:t>,84/</w:t>
            </w:r>
          </w:p>
          <w:p w:rsidR="00747B70" w:rsidRPr="00226851" w:rsidRDefault="00226851" w:rsidP="00214F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1995,38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-1,6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B70" w:rsidRPr="00350FC9" w:rsidRDefault="00747B70" w:rsidP="00747B70">
            <w:pPr>
              <w:jc w:val="both"/>
              <w:rPr>
                <w:sz w:val="22"/>
                <w:szCs w:val="22"/>
              </w:rPr>
            </w:pPr>
            <w:proofErr w:type="gramStart"/>
            <w:r w:rsidRPr="00350FC9">
              <w:rPr>
                <w:sz w:val="22"/>
                <w:szCs w:val="22"/>
              </w:rPr>
              <w:t xml:space="preserve">В соответствии с приказом РГУ "ДКРЕМ и ЗК Министерства национальной экономики РК по СКО № 152-ОД от 24 ноября 2015 года "Об утверждении предельного уровня тарифа и тарифной сметы на услугу по производству тепловой энергии АО "СЕВКАЗЭНЕРГО" на долгосрочный период с 01 января 2016 года по 31 декабря 2020 года", был утверждён тариф </w:t>
            </w:r>
            <w:proofErr w:type="spellStart"/>
            <w:r w:rsidRPr="00350FC9">
              <w:rPr>
                <w:sz w:val="22"/>
                <w:szCs w:val="22"/>
              </w:rPr>
              <w:t>нс</w:t>
            </w:r>
            <w:proofErr w:type="spellEnd"/>
            <w:r w:rsidRPr="00350FC9">
              <w:rPr>
                <w:sz w:val="22"/>
                <w:szCs w:val="22"/>
              </w:rPr>
              <w:t xml:space="preserve"> 1 января 2018 года в размере 1939,84</w:t>
            </w:r>
            <w:proofErr w:type="gramEnd"/>
            <w:r w:rsidRPr="00350FC9">
              <w:rPr>
                <w:sz w:val="22"/>
                <w:szCs w:val="22"/>
              </w:rPr>
              <w:t xml:space="preserve">  тенге/Гкал без НДС. </w:t>
            </w:r>
            <w:proofErr w:type="gramStart"/>
            <w:r w:rsidRPr="00350FC9">
              <w:rPr>
                <w:sz w:val="22"/>
                <w:szCs w:val="22"/>
              </w:rPr>
              <w:t>В соответствии с приказом РГУ "ДКРЕМ ЗК и ПП Министерства национальной экономики РК по СКО № 30-ОД от 27 февраля 2018 года  " Об утверждении тарифной сметы в качестве чрезвычайной регулирующей меры на услугу по производству тепловой энергии АО "СЕВКАЗЭНЕРГО" на период с 06 марта 2018 года по 31 декабря 2018 года", был утверждён тариф с 06 марта 2018 года в размере</w:t>
            </w:r>
            <w:proofErr w:type="gramEnd"/>
            <w:r w:rsidRPr="00350FC9">
              <w:rPr>
                <w:sz w:val="22"/>
                <w:szCs w:val="22"/>
              </w:rPr>
              <w:t xml:space="preserve"> 1995,38 тенге/Гкал без НДС (в соответствии с приказом ДКРЕМ ЗК и ПП №62-ОД от 28 апреля 2018 года, введение в действие приказа № 30-ОД перенесено на 1 июля 2018 г)</w:t>
            </w:r>
          </w:p>
        </w:tc>
      </w:tr>
    </w:tbl>
    <w:p w:rsidR="007C336C" w:rsidRPr="00350FC9" w:rsidRDefault="007C336C" w:rsidP="00EA3B67">
      <w:pPr>
        <w:rPr>
          <w:kern w:val="2"/>
          <w:sz w:val="22"/>
          <w:szCs w:val="22"/>
        </w:rPr>
        <w:sectPr w:rsidR="007C336C" w:rsidRPr="00350FC9" w:rsidSect="007C336C">
          <w:pgSz w:w="16838" w:h="11906" w:orient="landscape" w:code="9"/>
          <w:pgMar w:top="1134" w:right="851" w:bottom="567" w:left="567" w:header="709" w:footer="709" w:gutter="0"/>
          <w:cols w:space="708"/>
          <w:docGrid w:linePitch="360"/>
        </w:sectPr>
      </w:pPr>
    </w:p>
    <w:p w:rsidR="00CA50E7" w:rsidRPr="00350FC9" w:rsidRDefault="00116FDE" w:rsidP="00EA3B67">
      <w:pPr>
        <w:ind w:firstLine="567"/>
        <w:jc w:val="both"/>
        <w:rPr>
          <w:kern w:val="2"/>
          <w:sz w:val="22"/>
          <w:szCs w:val="22"/>
        </w:rPr>
      </w:pPr>
      <w:r w:rsidRPr="00350FC9">
        <w:rPr>
          <w:kern w:val="2"/>
          <w:sz w:val="22"/>
          <w:szCs w:val="22"/>
        </w:rPr>
        <w:lastRenderedPageBreak/>
        <w:t>Ф</w:t>
      </w:r>
      <w:r w:rsidR="00CA50E7" w:rsidRPr="00350FC9">
        <w:rPr>
          <w:kern w:val="2"/>
          <w:sz w:val="22"/>
          <w:szCs w:val="22"/>
        </w:rPr>
        <w:t xml:space="preserve">онд заработной платы, </w:t>
      </w:r>
      <w:r w:rsidR="00747B70" w:rsidRPr="00350FC9">
        <w:rPr>
          <w:kern w:val="2"/>
          <w:sz w:val="22"/>
          <w:szCs w:val="22"/>
        </w:rPr>
        <w:t xml:space="preserve">предусмотренный утвержденной тарифной сметой, освоен в полном объеме. За 2018 год </w:t>
      </w:r>
      <w:r w:rsidR="00747B70" w:rsidRPr="00A65EE3">
        <w:rPr>
          <w:kern w:val="2"/>
          <w:sz w:val="22"/>
          <w:szCs w:val="22"/>
        </w:rPr>
        <w:t xml:space="preserve">фактическая численность персонала АО «СЕВКАЗЭНЕРГО» по производству тепловой энергии составила 223 человека, при утвержденной уполномоченным органом норме – 292 человек. </w:t>
      </w:r>
      <w:r w:rsidR="00A65EE3" w:rsidRPr="00A65EE3">
        <w:rPr>
          <w:kern w:val="2"/>
          <w:sz w:val="22"/>
          <w:szCs w:val="22"/>
        </w:rPr>
        <w:t xml:space="preserve">Фактическая среднемесячная заработная плата сложилась в размере 140 501 тенге, что на 76,5% или на </w:t>
      </w:r>
      <w:r w:rsidR="005B2CA2">
        <w:rPr>
          <w:kern w:val="2"/>
          <w:sz w:val="22"/>
          <w:szCs w:val="22"/>
        </w:rPr>
        <w:t>60</w:t>
      </w:r>
      <w:r w:rsidR="00A65EE3" w:rsidRPr="00A65EE3">
        <w:rPr>
          <w:kern w:val="2"/>
          <w:sz w:val="22"/>
          <w:szCs w:val="22"/>
        </w:rPr>
        <w:t xml:space="preserve"> </w:t>
      </w:r>
      <w:r w:rsidR="005B2CA2">
        <w:rPr>
          <w:kern w:val="2"/>
          <w:sz w:val="22"/>
          <w:szCs w:val="22"/>
        </w:rPr>
        <w:t>880</w:t>
      </w:r>
      <w:r w:rsidR="00A65EE3" w:rsidRPr="00A65EE3">
        <w:rPr>
          <w:kern w:val="2"/>
          <w:sz w:val="22"/>
          <w:szCs w:val="22"/>
        </w:rPr>
        <w:t xml:space="preserve"> тенге выше от предусмотренной в действующем тарифе суммы в размере 79 621 тенге. Во избежание массового оттока квалифицированных специалистов по причине ее крайне низкого уровня, руководством предприятия дополнительно было направлено на оплату труда более 197 млн. тенге.</w:t>
      </w:r>
    </w:p>
    <w:p w:rsidR="00FA728D" w:rsidRPr="00350FC9" w:rsidRDefault="00FA728D" w:rsidP="00FA728D">
      <w:pPr>
        <w:ind w:firstLine="567"/>
        <w:jc w:val="both"/>
        <w:rPr>
          <w:b/>
          <w:kern w:val="2"/>
          <w:sz w:val="22"/>
          <w:szCs w:val="22"/>
        </w:rPr>
      </w:pPr>
      <w:r w:rsidRPr="00350FC9">
        <w:rPr>
          <w:b/>
          <w:kern w:val="2"/>
          <w:sz w:val="22"/>
          <w:szCs w:val="22"/>
        </w:rPr>
        <w:t>План развития предприятия в 2019 году.</w:t>
      </w:r>
    </w:p>
    <w:p w:rsidR="00CA50E7" w:rsidRPr="00350FC9" w:rsidRDefault="00FA728D" w:rsidP="00FA728D">
      <w:pPr>
        <w:ind w:firstLine="567"/>
        <w:jc w:val="both"/>
        <w:rPr>
          <w:kern w:val="2"/>
          <w:sz w:val="22"/>
          <w:szCs w:val="22"/>
        </w:rPr>
      </w:pPr>
      <w:r w:rsidRPr="00350FC9">
        <w:rPr>
          <w:kern w:val="2"/>
          <w:sz w:val="22"/>
          <w:szCs w:val="22"/>
        </w:rPr>
        <w:t>В соответствии с внесением изменений в Закон РК «О естественных монополиях» от 9 июля 1998 года № 272-I, субъект естественной монополии работает по предельным тарифам. В связи с этим, уполномоченным органом 24 ноября 2015 года введен в действие приказ 152-ОД «Об утверждении предельного уровня тарифа и тарифной сметы на услугу по производству тепловой энерг</w:t>
      </w:r>
      <w:proofErr w:type="gramStart"/>
      <w:r w:rsidRPr="00350FC9">
        <w:rPr>
          <w:kern w:val="2"/>
          <w:sz w:val="22"/>
          <w:szCs w:val="22"/>
        </w:rPr>
        <w:t>ии АО</w:t>
      </w:r>
      <w:proofErr w:type="gramEnd"/>
      <w:r w:rsidRPr="00350FC9">
        <w:rPr>
          <w:kern w:val="2"/>
          <w:sz w:val="22"/>
          <w:szCs w:val="22"/>
        </w:rPr>
        <w:t xml:space="preserve"> «СЕВКАЗЭНЕРГО» на долгосрочный период с 1 января 2016 года по 31 декабря 2020 года»</w:t>
      </w:r>
      <w:r w:rsidR="00CA50E7" w:rsidRPr="00350FC9">
        <w:rPr>
          <w:kern w:val="2"/>
          <w:sz w:val="22"/>
          <w:szCs w:val="22"/>
        </w:rPr>
        <w:t>.</w:t>
      </w:r>
    </w:p>
    <w:p w:rsidR="00FA728D" w:rsidRPr="00350FC9" w:rsidRDefault="00FA728D" w:rsidP="00FA728D">
      <w:pPr>
        <w:ind w:firstLine="567"/>
        <w:jc w:val="both"/>
        <w:rPr>
          <w:kern w:val="2"/>
          <w:sz w:val="22"/>
          <w:szCs w:val="22"/>
        </w:rPr>
      </w:pPr>
      <w:r w:rsidRPr="00350FC9">
        <w:rPr>
          <w:kern w:val="2"/>
          <w:sz w:val="22"/>
          <w:szCs w:val="22"/>
        </w:rPr>
        <w:t>В 2019 году предприятие планирует направить на ремонты, модернизацию и реконструкцию основных средств около 4 361,3 млн. тенге, основными мероприятиями которых являются:</w:t>
      </w:r>
    </w:p>
    <w:p w:rsidR="00FA728D" w:rsidRPr="00350FC9" w:rsidRDefault="00FA728D" w:rsidP="00FA728D">
      <w:pPr>
        <w:tabs>
          <w:tab w:val="left" w:pos="567"/>
        </w:tabs>
        <w:ind w:left="360"/>
        <w:jc w:val="both"/>
        <w:rPr>
          <w:kern w:val="2"/>
          <w:sz w:val="22"/>
          <w:szCs w:val="22"/>
        </w:rPr>
      </w:pPr>
      <w:r w:rsidRPr="00350FC9">
        <w:rPr>
          <w:kern w:val="2"/>
          <w:sz w:val="22"/>
          <w:szCs w:val="22"/>
        </w:rPr>
        <w:t xml:space="preserve">   реконструкция схемы выдачи тепловой мощности Петропавловской ТЭЦ-2;</w:t>
      </w:r>
    </w:p>
    <w:p w:rsidR="00FA728D" w:rsidRPr="00350FC9" w:rsidRDefault="00FA728D" w:rsidP="00FA728D">
      <w:pPr>
        <w:jc w:val="both"/>
        <w:rPr>
          <w:kern w:val="2"/>
          <w:sz w:val="22"/>
          <w:szCs w:val="22"/>
        </w:rPr>
      </w:pPr>
      <w:r w:rsidRPr="00350FC9">
        <w:rPr>
          <w:kern w:val="2"/>
          <w:sz w:val="22"/>
          <w:szCs w:val="22"/>
        </w:rPr>
        <w:t xml:space="preserve">         энергосберегающие мероприятия;</w:t>
      </w:r>
    </w:p>
    <w:p w:rsidR="00FA728D" w:rsidRPr="00350FC9" w:rsidRDefault="00FA728D" w:rsidP="00FA728D">
      <w:pPr>
        <w:ind w:left="142"/>
        <w:jc w:val="both"/>
        <w:rPr>
          <w:kern w:val="2"/>
          <w:sz w:val="22"/>
          <w:szCs w:val="22"/>
        </w:rPr>
      </w:pPr>
      <w:r w:rsidRPr="00350FC9">
        <w:rPr>
          <w:kern w:val="2"/>
          <w:sz w:val="22"/>
          <w:szCs w:val="22"/>
        </w:rPr>
        <w:t xml:space="preserve">       наращивание ограждающих дамб секции №3 </w:t>
      </w:r>
      <w:proofErr w:type="spellStart"/>
      <w:r w:rsidRPr="00350FC9">
        <w:rPr>
          <w:kern w:val="2"/>
          <w:sz w:val="22"/>
          <w:szCs w:val="22"/>
        </w:rPr>
        <w:t>золоотвала</w:t>
      </w:r>
      <w:proofErr w:type="spellEnd"/>
      <w:r w:rsidRPr="00350FC9">
        <w:rPr>
          <w:kern w:val="2"/>
          <w:sz w:val="22"/>
          <w:szCs w:val="22"/>
        </w:rPr>
        <w:t xml:space="preserve"> №2;</w:t>
      </w:r>
    </w:p>
    <w:p w:rsidR="00FA728D" w:rsidRPr="00350FC9" w:rsidRDefault="00FA728D" w:rsidP="00FA728D">
      <w:pPr>
        <w:ind w:left="142"/>
        <w:jc w:val="both"/>
        <w:rPr>
          <w:kern w:val="2"/>
          <w:sz w:val="22"/>
          <w:szCs w:val="22"/>
        </w:rPr>
      </w:pPr>
      <w:r w:rsidRPr="00350FC9">
        <w:rPr>
          <w:kern w:val="2"/>
          <w:sz w:val="22"/>
          <w:szCs w:val="22"/>
        </w:rPr>
        <w:t xml:space="preserve">       установка растопочного редукционно-охладительного устройства;</w:t>
      </w:r>
    </w:p>
    <w:p w:rsidR="00EE6C75" w:rsidRDefault="00FA728D" w:rsidP="00FA728D">
      <w:pPr>
        <w:ind w:left="142"/>
        <w:jc w:val="both"/>
        <w:rPr>
          <w:kern w:val="2"/>
          <w:sz w:val="22"/>
          <w:szCs w:val="22"/>
        </w:rPr>
      </w:pPr>
      <w:r w:rsidRPr="00350FC9">
        <w:rPr>
          <w:kern w:val="2"/>
          <w:sz w:val="22"/>
          <w:szCs w:val="22"/>
        </w:rPr>
        <w:t xml:space="preserve">       реконструкция кабельных туннелей</w:t>
      </w:r>
      <w:r w:rsidR="00EE6C75">
        <w:rPr>
          <w:kern w:val="2"/>
          <w:sz w:val="22"/>
          <w:szCs w:val="22"/>
        </w:rPr>
        <w:t>;</w:t>
      </w:r>
    </w:p>
    <w:p w:rsidR="00FA728D" w:rsidRDefault="00EE6C75" w:rsidP="00FA728D">
      <w:pPr>
        <w:ind w:left="142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      </w:t>
      </w:r>
      <w:r w:rsidR="00FA728D" w:rsidRPr="00350FC9">
        <w:rPr>
          <w:kern w:val="2"/>
          <w:sz w:val="22"/>
          <w:szCs w:val="22"/>
        </w:rPr>
        <w:t xml:space="preserve"> </w:t>
      </w:r>
      <w:r w:rsidRPr="00350FC9">
        <w:rPr>
          <w:kern w:val="2"/>
          <w:sz w:val="22"/>
          <w:szCs w:val="22"/>
        </w:rPr>
        <w:t>реконструкция</w:t>
      </w:r>
      <w:r w:rsidR="00FA728D" w:rsidRPr="00350FC9">
        <w:rPr>
          <w:kern w:val="2"/>
          <w:sz w:val="22"/>
          <w:szCs w:val="22"/>
        </w:rPr>
        <w:t xml:space="preserve"> газохода к дымовой трубе №3;</w:t>
      </w:r>
    </w:p>
    <w:p w:rsidR="00EE6C75" w:rsidRPr="00350FC9" w:rsidRDefault="00EE6C75" w:rsidP="00FA728D">
      <w:pPr>
        <w:ind w:left="142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       проект реконструкции </w:t>
      </w:r>
      <w:proofErr w:type="spellStart"/>
      <w:r>
        <w:rPr>
          <w:kern w:val="2"/>
          <w:sz w:val="22"/>
          <w:szCs w:val="22"/>
        </w:rPr>
        <w:t>котлоагрегата</w:t>
      </w:r>
      <w:proofErr w:type="spellEnd"/>
      <w:r>
        <w:rPr>
          <w:kern w:val="2"/>
          <w:sz w:val="22"/>
          <w:szCs w:val="22"/>
        </w:rPr>
        <w:t xml:space="preserve"> №2;</w:t>
      </w:r>
      <w:bookmarkStart w:id="0" w:name="_GoBack"/>
      <w:bookmarkEnd w:id="0"/>
    </w:p>
    <w:p w:rsidR="00FA728D" w:rsidRPr="00350FC9" w:rsidRDefault="00FA728D" w:rsidP="00FA728D">
      <w:pPr>
        <w:ind w:left="142"/>
        <w:jc w:val="both"/>
        <w:rPr>
          <w:kern w:val="2"/>
          <w:sz w:val="22"/>
          <w:szCs w:val="22"/>
        </w:rPr>
      </w:pPr>
      <w:r w:rsidRPr="00350FC9">
        <w:rPr>
          <w:kern w:val="2"/>
          <w:sz w:val="22"/>
          <w:szCs w:val="22"/>
        </w:rPr>
        <w:t xml:space="preserve">       модернизация топливоподачи;</w:t>
      </w:r>
    </w:p>
    <w:p w:rsidR="00FA728D" w:rsidRPr="00350FC9" w:rsidRDefault="00FA728D" w:rsidP="00FA728D">
      <w:pPr>
        <w:ind w:left="142"/>
        <w:jc w:val="both"/>
        <w:rPr>
          <w:kern w:val="2"/>
          <w:sz w:val="22"/>
          <w:szCs w:val="22"/>
        </w:rPr>
      </w:pPr>
      <w:r w:rsidRPr="00350FC9">
        <w:rPr>
          <w:kern w:val="2"/>
          <w:sz w:val="22"/>
          <w:szCs w:val="22"/>
        </w:rPr>
        <w:t xml:space="preserve">       разработка проектно-сметной документации на строительство </w:t>
      </w:r>
      <w:proofErr w:type="spellStart"/>
      <w:r w:rsidRPr="00350FC9">
        <w:rPr>
          <w:kern w:val="2"/>
          <w:sz w:val="22"/>
          <w:szCs w:val="22"/>
        </w:rPr>
        <w:t>золоотвала</w:t>
      </w:r>
      <w:proofErr w:type="spellEnd"/>
      <w:r w:rsidRPr="00350FC9">
        <w:rPr>
          <w:kern w:val="2"/>
          <w:sz w:val="22"/>
          <w:szCs w:val="22"/>
        </w:rPr>
        <w:t xml:space="preserve"> №4;</w:t>
      </w:r>
    </w:p>
    <w:p w:rsidR="00FA728D" w:rsidRPr="00350FC9" w:rsidRDefault="00FA728D" w:rsidP="00FA728D">
      <w:pPr>
        <w:ind w:left="142"/>
        <w:jc w:val="both"/>
        <w:rPr>
          <w:kern w:val="2"/>
          <w:sz w:val="22"/>
          <w:szCs w:val="22"/>
        </w:rPr>
      </w:pPr>
      <w:r w:rsidRPr="00350FC9">
        <w:rPr>
          <w:kern w:val="2"/>
          <w:sz w:val="22"/>
          <w:szCs w:val="22"/>
        </w:rPr>
        <w:t xml:space="preserve">       замена поверхностей нагрева КА №1,2,5,9,11;</w:t>
      </w:r>
    </w:p>
    <w:p w:rsidR="00FA728D" w:rsidRPr="00350FC9" w:rsidRDefault="00FA728D" w:rsidP="00FA728D">
      <w:pPr>
        <w:ind w:left="142"/>
        <w:jc w:val="both"/>
        <w:rPr>
          <w:kern w:val="2"/>
          <w:sz w:val="22"/>
          <w:szCs w:val="22"/>
        </w:rPr>
      </w:pPr>
      <w:r w:rsidRPr="00350FC9">
        <w:rPr>
          <w:kern w:val="2"/>
          <w:sz w:val="22"/>
          <w:szCs w:val="22"/>
        </w:rPr>
        <w:t xml:space="preserve">       приобретение, поставка и монтаж автотрансформатора 6АТ;</w:t>
      </w:r>
    </w:p>
    <w:p w:rsidR="00FA728D" w:rsidRPr="00350FC9" w:rsidRDefault="00FA728D" w:rsidP="00FA728D">
      <w:pPr>
        <w:jc w:val="both"/>
        <w:rPr>
          <w:kern w:val="2"/>
          <w:sz w:val="22"/>
          <w:szCs w:val="22"/>
        </w:rPr>
      </w:pPr>
      <w:r w:rsidRPr="00350FC9">
        <w:rPr>
          <w:kern w:val="2"/>
          <w:sz w:val="22"/>
          <w:szCs w:val="22"/>
        </w:rPr>
        <w:t xml:space="preserve">          капитальные ремонты </w:t>
      </w:r>
      <w:proofErr w:type="spellStart"/>
      <w:r w:rsidRPr="00350FC9">
        <w:rPr>
          <w:kern w:val="2"/>
          <w:sz w:val="22"/>
          <w:szCs w:val="22"/>
        </w:rPr>
        <w:t>котлоагрегатов</w:t>
      </w:r>
      <w:proofErr w:type="spellEnd"/>
      <w:r w:rsidRPr="00350FC9">
        <w:rPr>
          <w:kern w:val="2"/>
          <w:sz w:val="22"/>
          <w:szCs w:val="22"/>
        </w:rPr>
        <w:t xml:space="preserve"> № 1, 2, 6 и турбоагрегатов №1, 7, а так же тепловоза ТГМ-4;</w:t>
      </w:r>
    </w:p>
    <w:p w:rsidR="00FA728D" w:rsidRPr="00350FC9" w:rsidRDefault="00FA728D" w:rsidP="00FA728D">
      <w:pPr>
        <w:ind w:left="142"/>
        <w:jc w:val="both"/>
        <w:rPr>
          <w:kern w:val="2"/>
          <w:sz w:val="22"/>
          <w:szCs w:val="22"/>
        </w:rPr>
      </w:pPr>
      <w:r w:rsidRPr="00350FC9">
        <w:rPr>
          <w:kern w:val="2"/>
          <w:sz w:val="22"/>
          <w:szCs w:val="22"/>
        </w:rPr>
        <w:t xml:space="preserve">       текущие ремонты основного и вспомогательного оборудования.</w:t>
      </w:r>
    </w:p>
    <w:p w:rsidR="00FA728D" w:rsidRPr="00350FC9" w:rsidRDefault="00FA728D" w:rsidP="00FA728D">
      <w:pPr>
        <w:ind w:firstLine="567"/>
        <w:jc w:val="both"/>
        <w:rPr>
          <w:kern w:val="2"/>
          <w:sz w:val="22"/>
          <w:szCs w:val="22"/>
        </w:rPr>
      </w:pPr>
      <w:r w:rsidRPr="00350FC9">
        <w:rPr>
          <w:kern w:val="2"/>
          <w:sz w:val="22"/>
          <w:szCs w:val="22"/>
        </w:rPr>
        <w:t xml:space="preserve">Выполнение мероприятий  запланированных на 2019 год по ремонтам, реконструкции и модернизации основных средств, будет способствовать увеличению объема производства электрической и тепловой энергии, снижению рисков аварийности и исключения простоев, позволит </w:t>
      </w:r>
      <w:r w:rsidRPr="00350FC9">
        <w:rPr>
          <w:sz w:val="22"/>
          <w:szCs w:val="22"/>
        </w:rPr>
        <w:t>увеличить надежность оборудования, сократить количество вредных выбросов в окружающую среду</w:t>
      </w:r>
      <w:r w:rsidRPr="00350FC9">
        <w:rPr>
          <w:kern w:val="2"/>
          <w:sz w:val="22"/>
          <w:szCs w:val="22"/>
        </w:rPr>
        <w:t>, повысит технический уровень производства.</w:t>
      </w:r>
    </w:p>
    <w:p w:rsidR="00CA50E7" w:rsidRPr="00350FC9" w:rsidRDefault="00CA50E7" w:rsidP="00EA3B67">
      <w:pPr>
        <w:ind w:firstLine="567"/>
        <w:jc w:val="both"/>
        <w:rPr>
          <w:kern w:val="2"/>
          <w:sz w:val="22"/>
          <w:szCs w:val="22"/>
        </w:rPr>
      </w:pPr>
    </w:p>
    <w:p w:rsidR="00C13382" w:rsidRPr="00350FC9" w:rsidRDefault="00C13382" w:rsidP="00EA3B67">
      <w:pPr>
        <w:ind w:firstLine="567"/>
        <w:jc w:val="both"/>
        <w:rPr>
          <w:kern w:val="2"/>
          <w:sz w:val="22"/>
          <w:szCs w:val="22"/>
        </w:rPr>
      </w:pPr>
    </w:p>
    <w:p w:rsidR="001C2816" w:rsidRPr="00350FC9" w:rsidRDefault="001C2816" w:rsidP="00EA3B67">
      <w:pPr>
        <w:contextualSpacing/>
        <w:rPr>
          <w:b/>
          <w:bCs/>
          <w:i/>
          <w:sz w:val="22"/>
          <w:szCs w:val="22"/>
          <w:shd w:val="clear" w:color="auto" w:fill="FFFFFF"/>
        </w:rPr>
      </w:pPr>
      <w:r w:rsidRPr="00350FC9">
        <w:rPr>
          <w:b/>
          <w:bCs/>
          <w:i/>
          <w:sz w:val="22"/>
          <w:szCs w:val="22"/>
          <w:shd w:val="clear" w:color="auto" w:fill="FFFFFF"/>
        </w:rPr>
        <w:t xml:space="preserve">Планово-экономический отдел </w:t>
      </w:r>
    </w:p>
    <w:p w:rsidR="001C2816" w:rsidRPr="00350FC9" w:rsidRDefault="001C2816" w:rsidP="00EA3B67">
      <w:pPr>
        <w:contextualSpacing/>
        <w:rPr>
          <w:b/>
          <w:bCs/>
          <w:i/>
          <w:sz w:val="22"/>
          <w:szCs w:val="22"/>
          <w:shd w:val="clear" w:color="auto" w:fill="FFFFFF"/>
        </w:rPr>
      </w:pPr>
      <w:proofErr w:type="gramStart"/>
      <w:r w:rsidRPr="00350FC9">
        <w:rPr>
          <w:b/>
          <w:bCs/>
          <w:i/>
          <w:sz w:val="22"/>
          <w:szCs w:val="22"/>
          <w:shd w:val="clear" w:color="auto" w:fill="FFFFFF"/>
        </w:rPr>
        <w:t>Петропавловской</w:t>
      </w:r>
      <w:proofErr w:type="gramEnd"/>
      <w:r w:rsidRPr="00350FC9">
        <w:rPr>
          <w:b/>
          <w:bCs/>
          <w:i/>
          <w:sz w:val="22"/>
          <w:szCs w:val="22"/>
          <w:shd w:val="clear" w:color="auto" w:fill="FFFFFF"/>
        </w:rPr>
        <w:t xml:space="preserve"> ТЭЦ-2 АО «СЕВКАЗЭНЕРГО»,</w:t>
      </w:r>
    </w:p>
    <w:p w:rsidR="001C2816" w:rsidRPr="00350FC9" w:rsidRDefault="001C2816" w:rsidP="00EA3B67">
      <w:pPr>
        <w:contextualSpacing/>
        <w:rPr>
          <w:b/>
          <w:bCs/>
          <w:i/>
          <w:sz w:val="22"/>
          <w:szCs w:val="22"/>
          <w:shd w:val="clear" w:color="auto" w:fill="FFFFFF"/>
        </w:rPr>
      </w:pPr>
      <w:r w:rsidRPr="00350FC9">
        <w:rPr>
          <w:b/>
          <w:bCs/>
          <w:i/>
          <w:sz w:val="22"/>
          <w:szCs w:val="22"/>
          <w:shd w:val="clear" w:color="auto" w:fill="FFFFFF"/>
        </w:rPr>
        <w:t>тел: 8 (7152) 52-02-68</w:t>
      </w:r>
    </w:p>
    <w:p w:rsidR="00E82C79" w:rsidRPr="00350FC9" w:rsidRDefault="00E82C79" w:rsidP="00EA3B67">
      <w:pPr>
        <w:ind w:left="-142" w:firstLine="567"/>
        <w:jc w:val="center"/>
        <w:rPr>
          <w:noProof/>
          <w:sz w:val="22"/>
          <w:szCs w:val="22"/>
        </w:rPr>
      </w:pPr>
    </w:p>
    <w:sectPr w:rsidR="00E82C79" w:rsidRPr="00350FC9" w:rsidSect="007C336C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28D" w:rsidRDefault="0000528D">
      <w:r>
        <w:separator/>
      </w:r>
    </w:p>
  </w:endnote>
  <w:endnote w:type="continuationSeparator" w:id="0">
    <w:p w:rsidR="0000528D" w:rsidRDefault="0000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28D" w:rsidRDefault="0000528D">
      <w:r>
        <w:separator/>
      </w:r>
    </w:p>
  </w:footnote>
  <w:footnote w:type="continuationSeparator" w:id="0">
    <w:p w:rsidR="0000528D" w:rsidRDefault="00005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9FA"/>
    <w:multiLevelType w:val="hybridMultilevel"/>
    <w:tmpl w:val="7CCC1804"/>
    <w:lvl w:ilvl="0" w:tplc="BFD4B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873BB"/>
    <w:multiLevelType w:val="hybridMultilevel"/>
    <w:tmpl w:val="48404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55406"/>
    <w:multiLevelType w:val="hybridMultilevel"/>
    <w:tmpl w:val="15E41F38"/>
    <w:lvl w:ilvl="0" w:tplc="8E1C703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085E34F5"/>
    <w:multiLevelType w:val="hybridMultilevel"/>
    <w:tmpl w:val="B80419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E3587"/>
    <w:multiLevelType w:val="hybridMultilevel"/>
    <w:tmpl w:val="881E7024"/>
    <w:lvl w:ilvl="0" w:tplc="8E1C703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090A62E1"/>
    <w:multiLevelType w:val="hybridMultilevel"/>
    <w:tmpl w:val="1B003538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E631624"/>
    <w:multiLevelType w:val="hybridMultilevel"/>
    <w:tmpl w:val="7EF85624"/>
    <w:lvl w:ilvl="0" w:tplc="59543DD4">
      <w:start w:val="6"/>
      <w:numFmt w:val="bullet"/>
      <w:lvlText w:val="-"/>
      <w:lvlJc w:val="left"/>
      <w:pPr>
        <w:tabs>
          <w:tab w:val="num" w:pos="1370"/>
        </w:tabs>
        <w:ind w:left="1370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7">
    <w:nsid w:val="13A018FB"/>
    <w:multiLevelType w:val="hybridMultilevel"/>
    <w:tmpl w:val="04466FDE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8">
    <w:nsid w:val="16736BEC"/>
    <w:multiLevelType w:val="hybridMultilevel"/>
    <w:tmpl w:val="188E7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A74B2A"/>
    <w:multiLevelType w:val="singleLevel"/>
    <w:tmpl w:val="BF385170"/>
    <w:lvl w:ilvl="0">
      <w:start w:val="1"/>
      <w:numFmt w:val="decimal"/>
      <w:lvlText w:val="%1)"/>
      <w:legacy w:legacy="1" w:legacySpace="120" w:legacyIndent="360"/>
      <w:lvlJc w:val="left"/>
      <w:pPr>
        <w:ind w:left="660" w:hanging="360"/>
      </w:pPr>
    </w:lvl>
  </w:abstractNum>
  <w:abstractNum w:abstractNumId="10">
    <w:nsid w:val="1FF125B8"/>
    <w:multiLevelType w:val="multilevel"/>
    <w:tmpl w:val="5D3887D4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140" w:hanging="72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2340" w:hanging="108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740" w:hanging="180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11">
    <w:nsid w:val="21585CD5"/>
    <w:multiLevelType w:val="hybridMultilevel"/>
    <w:tmpl w:val="42EEEF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3E11F03"/>
    <w:multiLevelType w:val="hybridMultilevel"/>
    <w:tmpl w:val="9D9ACA3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8910D49"/>
    <w:multiLevelType w:val="hybridMultilevel"/>
    <w:tmpl w:val="BB6CB35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E1383B"/>
    <w:multiLevelType w:val="hybridMultilevel"/>
    <w:tmpl w:val="DCAC2BDA"/>
    <w:lvl w:ilvl="0" w:tplc="9CA83E64">
      <w:start w:val="1"/>
      <w:numFmt w:val="bullet"/>
      <w:lvlText w:val="-"/>
      <w:lvlJc w:val="left"/>
      <w:pPr>
        <w:tabs>
          <w:tab w:val="num" w:pos="1218"/>
        </w:tabs>
        <w:ind w:left="1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8"/>
        </w:tabs>
        <w:ind w:left="1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8"/>
        </w:tabs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8"/>
        </w:tabs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8"/>
        </w:tabs>
        <w:ind w:left="4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8"/>
        </w:tabs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8"/>
        </w:tabs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8"/>
        </w:tabs>
        <w:ind w:left="6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8"/>
        </w:tabs>
        <w:ind w:left="6978" w:hanging="360"/>
      </w:pPr>
      <w:rPr>
        <w:rFonts w:ascii="Wingdings" w:hAnsi="Wingdings" w:hint="default"/>
      </w:rPr>
    </w:lvl>
  </w:abstractNum>
  <w:abstractNum w:abstractNumId="15">
    <w:nsid w:val="37282FCB"/>
    <w:multiLevelType w:val="hybridMultilevel"/>
    <w:tmpl w:val="42F4FA46"/>
    <w:lvl w:ilvl="0" w:tplc="3F6470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177981"/>
    <w:multiLevelType w:val="hybridMultilevel"/>
    <w:tmpl w:val="3B185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A640F3"/>
    <w:multiLevelType w:val="multilevel"/>
    <w:tmpl w:val="E892A66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3B57492E"/>
    <w:multiLevelType w:val="hybridMultilevel"/>
    <w:tmpl w:val="79063706"/>
    <w:lvl w:ilvl="0" w:tplc="D9ECDBB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4C673D7B"/>
    <w:multiLevelType w:val="hybridMultilevel"/>
    <w:tmpl w:val="B2609CAE"/>
    <w:lvl w:ilvl="0" w:tplc="16562022">
      <w:start w:val="1"/>
      <w:numFmt w:val="decimal"/>
      <w:lvlText w:val="%1"/>
      <w:lvlJc w:val="left"/>
      <w:pPr>
        <w:tabs>
          <w:tab w:val="num" w:pos="5751"/>
        </w:tabs>
        <w:ind w:left="1422" w:hanging="567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3B5779"/>
    <w:multiLevelType w:val="hybridMultilevel"/>
    <w:tmpl w:val="8BB05F5A"/>
    <w:lvl w:ilvl="0" w:tplc="F130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1F0C21"/>
    <w:multiLevelType w:val="hybridMultilevel"/>
    <w:tmpl w:val="0ACA50F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50E05882"/>
    <w:multiLevelType w:val="hybridMultilevel"/>
    <w:tmpl w:val="9B7EA65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D63785"/>
    <w:multiLevelType w:val="hybridMultilevel"/>
    <w:tmpl w:val="5EBA7CE4"/>
    <w:lvl w:ilvl="0" w:tplc="0419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4">
    <w:nsid w:val="56DE54AC"/>
    <w:multiLevelType w:val="hybridMultilevel"/>
    <w:tmpl w:val="64E4EEB8"/>
    <w:lvl w:ilvl="0" w:tplc="04190005">
      <w:start w:val="1"/>
      <w:numFmt w:val="bullet"/>
      <w:lvlText w:val="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5">
    <w:nsid w:val="58FE3FCD"/>
    <w:multiLevelType w:val="hybridMultilevel"/>
    <w:tmpl w:val="B5483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2931E6"/>
    <w:multiLevelType w:val="hybridMultilevel"/>
    <w:tmpl w:val="E0E2DFD6"/>
    <w:lvl w:ilvl="0" w:tplc="041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>
    <w:nsid w:val="5C463B78"/>
    <w:multiLevelType w:val="hybridMultilevel"/>
    <w:tmpl w:val="34B092CC"/>
    <w:lvl w:ilvl="0" w:tplc="FB5CC4CA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D74D3"/>
    <w:multiLevelType w:val="hybridMultilevel"/>
    <w:tmpl w:val="B5483C8A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4755BA"/>
    <w:multiLevelType w:val="multilevel"/>
    <w:tmpl w:val="0EFE7E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6B282AAE"/>
    <w:multiLevelType w:val="hybridMultilevel"/>
    <w:tmpl w:val="056C547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6B805F6B"/>
    <w:multiLevelType w:val="hybridMultilevel"/>
    <w:tmpl w:val="B4606E3C"/>
    <w:lvl w:ilvl="0" w:tplc="FB08F33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52ACB"/>
    <w:multiLevelType w:val="hybridMultilevel"/>
    <w:tmpl w:val="B5483C8A"/>
    <w:lvl w:ilvl="0" w:tplc="F130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E43DD5"/>
    <w:multiLevelType w:val="hybridMultilevel"/>
    <w:tmpl w:val="DF0A16A2"/>
    <w:lvl w:ilvl="0" w:tplc="9C3884F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CEF4214"/>
    <w:multiLevelType w:val="hybridMultilevel"/>
    <w:tmpl w:val="870C6D2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7E1839D3"/>
    <w:multiLevelType w:val="hybridMultilevel"/>
    <w:tmpl w:val="C18E1D0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6"/>
  </w:num>
  <w:num w:numId="3">
    <w:abstractNumId w:val="30"/>
  </w:num>
  <w:num w:numId="4">
    <w:abstractNumId w:val="21"/>
  </w:num>
  <w:num w:numId="5">
    <w:abstractNumId w:val="12"/>
  </w:num>
  <w:num w:numId="6">
    <w:abstractNumId w:val="13"/>
  </w:num>
  <w:num w:numId="7">
    <w:abstractNumId w:val="4"/>
  </w:num>
  <w:num w:numId="8">
    <w:abstractNumId w:val="2"/>
  </w:num>
  <w:num w:numId="9">
    <w:abstractNumId w:val="33"/>
  </w:num>
  <w:num w:numId="10">
    <w:abstractNumId w:val="1"/>
  </w:num>
  <w:num w:numId="11">
    <w:abstractNumId w:val="20"/>
  </w:num>
  <w:num w:numId="12">
    <w:abstractNumId w:val="18"/>
  </w:num>
  <w:num w:numId="13">
    <w:abstractNumId w:val="14"/>
  </w:num>
  <w:num w:numId="14">
    <w:abstractNumId w:val="15"/>
  </w:num>
  <w:num w:numId="15">
    <w:abstractNumId w:val="24"/>
  </w:num>
  <w:num w:numId="16">
    <w:abstractNumId w:val="5"/>
  </w:num>
  <w:num w:numId="17">
    <w:abstractNumId w:val="9"/>
  </w:num>
  <w:num w:numId="18">
    <w:abstractNumId w:val="23"/>
  </w:num>
  <w:num w:numId="19">
    <w:abstractNumId w:val="27"/>
  </w:num>
  <w:num w:numId="20">
    <w:abstractNumId w:val="25"/>
  </w:num>
  <w:num w:numId="21">
    <w:abstractNumId w:val="32"/>
  </w:num>
  <w:num w:numId="22">
    <w:abstractNumId w:val="28"/>
  </w:num>
  <w:num w:numId="23">
    <w:abstractNumId w:val="6"/>
  </w:num>
  <w:num w:numId="24">
    <w:abstractNumId w:val="19"/>
  </w:num>
  <w:num w:numId="25">
    <w:abstractNumId w:val="0"/>
  </w:num>
  <w:num w:numId="26">
    <w:abstractNumId w:val="8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3"/>
  </w:num>
  <w:num w:numId="32">
    <w:abstractNumId w:val="31"/>
  </w:num>
  <w:num w:numId="33">
    <w:abstractNumId w:val="7"/>
  </w:num>
  <w:num w:numId="34">
    <w:abstractNumId w:val="22"/>
  </w:num>
  <w:num w:numId="35">
    <w:abstractNumId w:val="26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45"/>
    <w:rsid w:val="00002DA5"/>
    <w:rsid w:val="0000528D"/>
    <w:rsid w:val="00014EE4"/>
    <w:rsid w:val="00017728"/>
    <w:rsid w:val="00022567"/>
    <w:rsid w:val="00031D9F"/>
    <w:rsid w:val="00036802"/>
    <w:rsid w:val="000458A8"/>
    <w:rsid w:val="000518D9"/>
    <w:rsid w:val="00053480"/>
    <w:rsid w:val="000537DE"/>
    <w:rsid w:val="00054BFB"/>
    <w:rsid w:val="000550B7"/>
    <w:rsid w:val="00060AF8"/>
    <w:rsid w:val="00066A39"/>
    <w:rsid w:val="00072644"/>
    <w:rsid w:val="000A5A34"/>
    <w:rsid w:val="000B193F"/>
    <w:rsid w:val="000B3100"/>
    <w:rsid w:val="000C044C"/>
    <w:rsid w:val="000C2EE2"/>
    <w:rsid w:val="000C41BB"/>
    <w:rsid w:val="000C466F"/>
    <w:rsid w:val="000D74F7"/>
    <w:rsid w:val="000F1E7B"/>
    <w:rsid w:val="00112530"/>
    <w:rsid w:val="00113BED"/>
    <w:rsid w:val="00116FDE"/>
    <w:rsid w:val="00117FE1"/>
    <w:rsid w:val="00130220"/>
    <w:rsid w:val="001355D7"/>
    <w:rsid w:val="00141D55"/>
    <w:rsid w:val="00146FF2"/>
    <w:rsid w:val="001516E5"/>
    <w:rsid w:val="0017176A"/>
    <w:rsid w:val="0018384E"/>
    <w:rsid w:val="001A36AF"/>
    <w:rsid w:val="001A5A26"/>
    <w:rsid w:val="001B1F94"/>
    <w:rsid w:val="001C2816"/>
    <w:rsid w:val="001D1907"/>
    <w:rsid w:val="001F1C52"/>
    <w:rsid w:val="001F2897"/>
    <w:rsid w:val="00214F30"/>
    <w:rsid w:val="00222451"/>
    <w:rsid w:val="00226851"/>
    <w:rsid w:val="00236433"/>
    <w:rsid w:val="002367E3"/>
    <w:rsid w:val="002375A5"/>
    <w:rsid w:val="00247828"/>
    <w:rsid w:val="00256760"/>
    <w:rsid w:val="00274402"/>
    <w:rsid w:val="002810D3"/>
    <w:rsid w:val="00283438"/>
    <w:rsid w:val="00287938"/>
    <w:rsid w:val="002A5133"/>
    <w:rsid w:val="002A726C"/>
    <w:rsid w:val="002B4A78"/>
    <w:rsid w:val="002B6767"/>
    <w:rsid w:val="002C06E6"/>
    <w:rsid w:val="002C12C7"/>
    <w:rsid w:val="002C1F53"/>
    <w:rsid w:val="002C26D1"/>
    <w:rsid w:val="002D50B9"/>
    <w:rsid w:val="002D51F7"/>
    <w:rsid w:val="002F41C4"/>
    <w:rsid w:val="00310B28"/>
    <w:rsid w:val="00324432"/>
    <w:rsid w:val="00326A8A"/>
    <w:rsid w:val="003303E6"/>
    <w:rsid w:val="00350FC9"/>
    <w:rsid w:val="003522DE"/>
    <w:rsid w:val="00357425"/>
    <w:rsid w:val="003630FB"/>
    <w:rsid w:val="00367F58"/>
    <w:rsid w:val="0038560D"/>
    <w:rsid w:val="003C3F07"/>
    <w:rsid w:val="003C507F"/>
    <w:rsid w:val="003D09C5"/>
    <w:rsid w:val="003D19DB"/>
    <w:rsid w:val="003E791A"/>
    <w:rsid w:val="003F029F"/>
    <w:rsid w:val="003F4A49"/>
    <w:rsid w:val="004040BE"/>
    <w:rsid w:val="00405F9D"/>
    <w:rsid w:val="0040751D"/>
    <w:rsid w:val="004076E1"/>
    <w:rsid w:val="00410350"/>
    <w:rsid w:val="00415D06"/>
    <w:rsid w:val="004205AF"/>
    <w:rsid w:val="0043653F"/>
    <w:rsid w:val="00437694"/>
    <w:rsid w:val="0045297A"/>
    <w:rsid w:val="004640A7"/>
    <w:rsid w:val="00467BB3"/>
    <w:rsid w:val="004942AC"/>
    <w:rsid w:val="004A0CBE"/>
    <w:rsid w:val="004A2517"/>
    <w:rsid w:val="004A41B6"/>
    <w:rsid w:val="004A68F7"/>
    <w:rsid w:val="004B10A6"/>
    <w:rsid w:val="004B2FE9"/>
    <w:rsid w:val="004D2EA5"/>
    <w:rsid w:val="004E7AEC"/>
    <w:rsid w:val="004F53D0"/>
    <w:rsid w:val="005149DB"/>
    <w:rsid w:val="0051569F"/>
    <w:rsid w:val="005214D5"/>
    <w:rsid w:val="00522900"/>
    <w:rsid w:val="00522A2B"/>
    <w:rsid w:val="0052720C"/>
    <w:rsid w:val="005277A1"/>
    <w:rsid w:val="00533E9D"/>
    <w:rsid w:val="00536D94"/>
    <w:rsid w:val="00544DC8"/>
    <w:rsid w:val="00547613"/>
    <w:rsid w:val="00552848"/>
    <w:rsid w:val="00571D8F"/>
    <w:rsid w:val="00572227"/>
    <w:rsid w:val="00573EA1"/>
    <w:rsid w:val="00574C9B"/>
    <w:rsid w:val="00576EBF"/>
    <w:rsid w:val="005802A7"/>
    <w:rsid w:val="00586048"/>
    <w:rsid w:val="005901EF"/>
    <w:rsid w:val="00597736"/>
    <w:rsid w:val="005B2CA2"/>
    <w:rsid w:val="005C1AA1"/>
    <w:rsid w:val="005D44B6"/>
    <w:rsid w:val="005D7969"/>
    <w:rsid w:val="005F245A"/>
    <w:rsid w:val="005F68AB"/>
    <w:rsid w:val="005F718D"/>
    <w:rsid w:val="006000A6"/>
    <w:rsid w:val="00601B27"/>
    <w:rsid w:val="00603FCA"/>
    <w:rsid w:val="0061012F"/>
    <w:rsid w:val="00610B1B"/>
    <w:rsid w:val="00621E15"/>
    <w:rsid w:val="0062352F"/>
    <w:rsid w:val="006301BC"/>
    <w:rsid w:val="006379F5"/>
    <w:rsid w:val="0066716D"/>
    <w:rsid w:val="00674E28"/>
    <w:rsid w:val="006771C8"/>
    <w:rsid w:val="00677803"/>
    <w:rsid w:val="00685D20"/>
    <w:rsid w:val="0069324A"/>
    <w:rsid w:val="006A27AF"/>
    <w:rsid w:val="006A29A9"/>
    <w:rsid w:val="006A45CA"/>
    <w:rsid w:val="006B3D92"/>
    <w:rsid w:val="006B72E5"/>
    <w:rsid w:val="006B7CCB"/>
    <w:rsid w:val="006C31CA"/>
    <w:rsid w:val="006D0B82"/>
    <w:rsid w:val="006D43B1"/>
    <w:rsid w:val="006E14A3"/>
    <w:rsid w:val="006E49A5"/>
    <w:rsid w:val="006F3140"/>
    <w:rsid w:val="006F597C"/>
    <w:rsid w:val="006F6974"/>
    <w:rsid w:val="0071124D"/>
    <w:rsid w:val="00715F7C"/>
    <w:rsid w:val="00731DD1"/>
    <w:rsid w:val="00732631"/>
    <w:rsid w:val="00733542"/>
    <w:rsid w:val="0073503D"/>
    <w:rsid w:val="0073589D"/>
    <w:rsid w:val="00740352"/>
    <w:rsid w:val="00742FFA"/>
    <w:rsid w:val="00747B70"/>
    <w:rsid w:val="00751F59"/>
    <w:rsid w:val="0075321B"/>
    <w:rsid w:val="00757E11"/>
    <w:rsid w:val="00780E64"/>
    <w:rsid w:val="007915A6"/>
    <w:rsid w:val="007B2420"/>
    <w:rsid w:val="007B42BD"/>
    <w:rsid w:val="007B475E"/>
    <w:rsid w:val="007C336C"/>
    <w:rsid w:val="007D1919"/>
    <w:rsid w:val="007D66DA"/>
    <w:rsid w:val="007E0B92"/>
    <w:rsid w:val="007F6E03"/>
    <w:rsid w:val="00817EE7"/>
    <w:rsid w:val="00821665"/>
    <w:rsid w:val="00825020"/>
    <w:rsid w:val="008331ED"/>
    <w:rsid w:val="008417E4"/>
    <w:rsid w:val="00845264"/>
    <w:rsid w:val="00853EA5"/>
    <w:rsid w:val="00854CAB"/>
    <w:rsid w:val="008735C3"/>
    <w:rsid w:val="00875027"/>
    <w:rsid w:val="00877FD4"/>
    <w:rsid w:val="008871B3"/>
    <w:rsid w:val="00895CCC"/>
    <w:rsid w:val="008A4EE4"/>
    <w:rsid w:val="008A5DFC"/>
    <w:rsid w:val="008D041B"/>
    <w:rsid w:val="008D0EE2"/>
    <w:rsid w:val="008D2C00"/>
    <w:rsid w:val="008D5559"/>
    <w:rsid w:val="008E03F4"/>
    <w:rsid w:val="008E4C08"/>
    <w:rsid w:val="008F74C5"/>
    <w:rsid w:val="008F7A03"/>
    <w:rsid w:val="009172B3"/>
    <w:rsid w:val="009215ED"/>
    <w:rsid w:val="00922BA4"/>
    <w:rsid w:val="009275A7"/>
    <w:rsid w:val="009277F8"/>
    <w:rsid w:val="00937838"/>
    <w:rsid w:val="009416D0"/>
    <w:rsid w:val="009530AE"/>
    <w:rsid w:val="0096752B"/>
    <w:rsid w:val="00971A37"/>
    <w:rsid w:val="009856CA"/>
    <w:rsid w:val="009A7889"/>
    <w:rsid w:val="009B338A"/>
    <w:rsid w:val="009C0F10"/>
    <w:rsid w:val="009C1100"/>
    <w:rsid w:val="009C6814"/>
    <w:rsid w:val="009D2D2C"/>
    <w:rsid w:val="009D33D3"/>
    <w:rsid w:val="009D343B"/>
    <w:rsid w:val="009E1B28"/>
    <w:rsid w:val="009F2F41"/>
    <w:rsid w:val="00A0400C"/>
    <w:rsid w:val="00A070A6"/>
    <w:rsid w:val="00A0751C"/>
    <w:rsid w:val="00A15815"/>
    <w:rsid w:val="00A16D78"/>
    <w:rsid w:val="00A17CA7"/>
    <w:rsid w:val="00A26A59"/>
    <w:rsid w:val="00A309C3"/>
    <w:rsid w:val="00A411D9"/>
    <w:rsid w:val="00A42C9C"/>
    <w:rsid w:val="00A468FD"/>
    <w:rsid w:val="00A63862"/>
    <w:rsid w:val="00A65788"/>
    <w:rsid w:val="00A65EE3"/>
    <w:rsid w:val="00A71745"/>
    <w:rsid w:val="00A811D6"/>
    <w:rsid w:val="00A92B40"/>
    <w:rsid w:val="00AB606D"/>
    <w:rsid w:val="00AC1F57"/>
    <w:rsid w:val="00AD0BD0"/>
    <w:rsid w:val="00AE0733"/>
    <w:rsid w:val="00AE121D"/>
    <w:rsid w:val="00AE3724"/>
    <w:rsid w:val="00AE39DC"/>
    <w:rsid w:val="00AE4CC1"/>
    <w:rsid w:val="00B12243"/>
    <w:rsid w:val="00B14596"/>
    <w:rsid w:val="00B16C9A"/>
    <w:rsid w:val="00B23F4E"/>
    <w:rsid w:val="00B266CE"/>
    <w:rsid w:val="00B42359"/>
    <w:rsid w:val="00B50FDA"/>
    <w:rsid w:val="00B518AE"/>
    <w:rsid w:val="00B63761"/>
    <w:rsid w:val="00B71C35"/>
    <w:rsid w:val="00B73A9E"/>
    <w:rsid w:val="00B7605D"/>
    <w:rsid w:val="00B779CE"/>
    <w:rsid w:val="00B80D4B"/>
    <w:rsid w:val="00B81F4B"/>
    <w:rsid w:val="00B82B3E"/>
    <w:rsid w:val="00B85F57"/>
    <w:rsid w:val="00B8646C"/>
    <w:rsid w:val="00B865F6"/>
    <w:rsid w:val="00BA7750"/>
    <w:rsid w:val="00BA7E65"/>
    <w:rsid w:val="00BC5951"/>
    <w:rsid w:val="00BC634F"/>
    <w:rsid w:val="00BC7F0D"/>
    <w:rsid w:val="00BD1E9D"/>
    <w:rsid w:val="00BE19F7"/>
    <w:rsid w:val="00BF7C80"/>
    <w:rsid w:val="00BF7E86"/>
    <w:rsid w:val="00C0362C"/>
    <w:rsid w:val="00C13382"/>
    <w:rsid w:val="00C2543D"/>
    <w:rsid w:val="00C31C12"/>
    <w:rsid w:val="00C349CF"/>
    <w:rsid w:val="00C3588E"/>
    <w:rsid w:val="00C50645"/>
    <w:rsid w:val="00C60B5E"/>
    <w:rsid w:val="00C6326B"/>
    <w:rsid w:val="00C831B5"/>
    <w:rsid w:val="00C93679"/>
    <w:rsid w:val="00C962B5"/>
    <w:rsid w:val="00CA2B45"/>
    <w:rsid w:val="00CA50E7"/>
    <w:rsid w:val="00CA7C2F"/>
    <w:rsid w:val="00CC163D"/>
    <w:rsid w:val="00CD20EA"/>
    <w:rsid w:val="00CE2041"/>
    <w:rsid w:val="00CE2525"/>
    <w:rsid w:val="00D03D43"/>
    <w:rsid w:val="00D04388"/>
    <w:rsid w:val="00D1108F"/>
    <w:rsid w:val="00D16FD3"/>
    <w:rsid w:val="00D222AC"/>
    <w:rsid w:val="00D30B49"/>
    <w:rsid w:val="00D377EA"/>
    <w:rsid w:val="00D42C09"/>
    <w:rsid w:val="00D43DA6"/>
    <w:rsid w:val="00D55099"/>
    <w:rsid w:val="00D65CB8"/>
    <w:rsid w:val="00D66990"/>
    <w:rsid w:val="00D73742"/>
    <w:rsid w:val="00D759C9"/>
    <w:rsid w:val="00D81184"/>
    <w:rsid w:val="00D94EED"/>
    <w:rsid w:val="00DA3A5D"/>
    <w:rsid w:val="00DB231A"/>
    <w:rsid w:val="00DB5F86"/>
    <w:rsid w:val="00DD44F1"/>
    <w:rsid w:val="00DE1A21"/>
    <w:rsid w:val="00E130DB"/>
    <w:rsid w:val="00E27EEA"/>
    <w:rsid w:val="00E34C2D"/>
    <w:rsid w:val="00E47A66"/>
    <w:rsid w:val="00E5149D"/>
    <w:rsid w:val="00E60DED"/>
    <w:rsid w:val="00E75916"/>
    <w:rsid w:val="00E75F9C"/>
    <w:rsid w:val="00E82C79"/>
    <w:rsid w:val="00E84F7A"/>
    <w:rsid w:val="00EA3B67"/>
    <w:rsid w:val="00EA3DAD"/>
    <w:rsid w:val="00EA46E6"/>
    <w:rsid w:val="00EA55A6"/>
    <w:rsid w:val="00EC30FF"/>
    <w:rsid w:val="00ED6DF8"/>
    <w:rsid w:val="00EE648B"/>
    <w:rsid w:val="00EE6C75"/>
    <w:rsid w:val="00EF11E4"/>
    <w:rsid w:val="00F13FFB"/>
    <w:rsid w:val="00F21872"/>
    <w:rsid w:val="00F32CC0"/>
    <w:rsid w:val="00F47C7D"/>
    <w:rsid w:val="00F5131B"/>
    <w:rsid w:val="00F64CBC"/>
    <w:rsid w:val="00F71B48"/>
    <w:rsid w:val="00F85084"/>
    <w:rsid w:val="00F92357"/>
    <w:rsid w:val="00F9733D"/>
    <w:rsid w:val="00FA0566"/>
    <w:rsid w:val="00FA0658"/>
    <w:rsid w:val="00FA728D"/>
    <w:rsid w:val="00FB1AA8"/>
    <w:rsid w:val="00FB3450"/>
    <w:rsid w:val="00FC4858"/>
    <w:rsid w:val="00FD682C"/>
    <w:rsid w:val="00FE0FAF"/>
    <w:rsid w:val="00FE5A6D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50645"/>
    <w:pPr>
      <w:spacing w:line="360" w:lineRule="auto"/>
      <w:jc w:val="both"/>
    </w:pPr>
  </w:style>
  <w:style w:type="table" w:styleId="a3">
    <w:name w:val="Table Grid"/>
    <w:basedOn w:val="a1"/>
    <w:rsid w:val="00C5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1"/>
    <w:rsid w:val="009530A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ody Text"/>
    <w:basedOn w:val="a"/>
    <w:link w:val="a5"/>
    <w:rsid w:val="00437694"/>
    <w:pPr>
      <w:spacing w:after="120"/>
    </w:pPr>
  </w:style>
  <w:style w:type="paragraph" w:styleId="a6">
    <w:name w:val="footer"/>
    <w:basedOn w:val="a"/>
    <w:rsid w:val="00C60B5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60B5E"/>
  </w:style>
  <w:style w:type="paragraph" w:styleId="a8">
    <w:name w:val="header"/>
    <w:basedOn w:val="a"/>
    <w:link w:val="a9"/>
    <w:rsid w:val="00C60B5E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73503D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E34C2D"/>
    <w:pPr>
      <w:spacing w:after="120" w:line="480" w:lineRule="auto"/>
      <w:ind w:left="283"/>
    </w:pPr>
  </w:style>
  <w:style w:type="paragraph" w:styleId="ab">
    <w:name w:val="Document Map"/>
    <w:basedOn w:val="a"/>
    <w:link w:val="ac"/>
    <w:rsid w:val="005F718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Title"/>
    <w:basedOn w:val="a"/>
    <w:link w:val="ae"/>
    <w:qFormat/>
    <w:rsid w:val="00747B70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d"/>
    <w:rsid w:val="00747B70"/>
    <w:rPr>
      <w:b/>
      <w:bCs/>
      <w:sz w:val="24"/>
      <w:szCs w:val="24"/>
    </w:rPr>
  </w:style>
  <w:style w:type="character" w:customStyle="1" w:styleId="a5">
    <w:name w:val="Основной текст Знак"/>
    <w:link w:val="a4"/>
    <w:rsid w:val="00747B70"/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747B70"/>
    <w:rPr>
      <w:sz w:val="24"/>
      <w:szCs w:val="24"/>
    </w:rPr>
  </w:style>
  <w:style w:type="paragraph" w:styleId="3">
    <w:name w:val="Body Text Indent 3"/>
    <w:basedOn w:val="a"/>
    <w:link w:val="30"/>
    <w:rsid w:val="00747B7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747B70"/>
    <w:rPr>
      <w:sz w:val="28"/>
      <w:szCs w:val="24"/>
    </w:rPr>
  </w:style>
  <w:style w:type="paragraph" w:styleId="af">
    <w:name w:val="Body Text Indent"/>
    <w:basedOn w:val="a"/>
    <w:link w:val="af0"/>
    <w:rsid w:val="00747B7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747B70"/>
    <w:rPr>
      <w:sz w:val="24"/>
      <w:szCs w:val="24"/>
    </w:rPr>
  </w:style>
  <w:style w:type="character" w:styleId="af1">
    <w:name w:val="Hyperlink"/>
    <w:uiPriority w:val="99"/>
    <w:rsid w:val="00747B7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747B7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s1">
    <w:name w:val="s1"/>
    <w:rsid w:val="00747B7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2">
    <w:name w:val="Message Header"/>
    <w:basedOn w:val="a4"/>
    <w:link w:val="af3"/>
    <w:unhideWhenUsed/>
    <w:rsid w:val="00747B70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character" w:customStyle="1" w:styleId="af3">
    <w:name w:val="Шапка Знак"/>
    <w:basedOn w:val="a0"/>
    <w:link w:val="af2"/>
    <w:rsid w:val="00747B70"/>
    <w:rPr>
      <w:lang w:eastAsia="en-US"/>
    </w:rPr>
  </w:style>
  <w:style w:type="paragraph" w:customStyle="1" w:styleId="af4">
    <w:name w:val="Название документа"/>
    <w:next w:val="a"/>
    <w:rsid w:val="00747B70"/>
    <w:pPr>
      <w:spacing w:before="140" w:after="540" w:line="600" w:lineRule="atLeast"/>
      <w:ind w:left="840"/>
    </w:pPr>
    <w:rPr>
      <w:spacing w:val="-38"/>
      <w:sz w:val="60"/>
      <w:lang w:eastAsia="en-US"/>
    </w:rPr>
  </w:style>
  <w:style w:type="character" w:customStyle="1" w:styleId="af5">
    <w:name w:val="Заголовок сообщения (текст)"/>
    <w:rsid w:val="00747B70"/>
    <w:rPr>
      <w:rFonts w:ascii="Arial" w:hAnsi="Arial" w:cs="Arial" w:hint="default"/>
      <w:b/>
      <w:bCs w:val="0"/>
      <w:spacing w:val="-4"/>
      <w:sz w:val="18"/>
      <w:vertAlign w:val="baseline"/>
      <w:lang w:bidi="ar-SA"/>
    </w:rPr>
  </w:style>
  <w:style w:type="paragraph" w:customStyle="1" w:styleId="1">
    <w:name w:val="Знак Знак Знак1 Знак Знак Знак Знак Знак Знак Знак"/>
    <w:basedOn w:val="a"/>
    <w:autoRedefine/>
    <w:rsid w:val="00747B7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6">
    <w:name w:val="List Paragraph"/>
    <w:basedOn w:val="a"/>
    <w:uiPriority w:val="34"/>
    <w:qFormat/>
    <w:rsid w:val="00747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f7">
    <w:name w:val="Normal (Web)"/>
    <w:basedOn w:val="a"/>
    <w:unhideWhenUsed/>
    <w:rsid w:val="00747B70"/>
    <w:pPr>
      <w:spacing w:before="100" w:beforeAutospacing="1" w:after="100" w:afterAutospacing="1"/>
    </w:pPr>
    <w:rPr>
      <w:rFonts w:eastAsia="Calibri"/>
    </w:rPr>
  </w:style>
  <w:style w:type="character" w:customStyle="1" w:styleId="a9">
    <w:name w:val="Верхний колонтитул Знак"/>
    <w:basedOn w:val="a0"/>
    <w:link w:val="a8"/>
    <w:rsid w:val="00747B70"/>
    <w:rPr>
      <w:sz w:val="24"/>
      <w:szCs w:val="24"/>
    </w:rPr>
  </w:style>
  <w:style w:type="character" w:customStyle="1" w:styleId="ac">
    <w:name w:val="Схема документа Знак"/>
    <w:basedOn w:val="a0"/>
    <w:link w:val="ab"/>
    <w:rsid w:val="00747B70"/>
    <w:rPr>
      <w:rFonts w:ascii="Tahoma" w:hAnsi="Tahoma" w:cs="Tahoma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50645"/>
    <w:pPr>
      <w:spacing w:line="360" w:lineRule="auto"/>
      <w:jc w:val="both"/>
    </w:pPr>
  </w:style>
  <w:style w:type="table" w:styleId="a3">
    <w:name w:val="Table Grid"/>
    <w:basedOn w:val="a1"/>
    <w:rsid w:val="00C5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1"/>
    <w:rsid w:val="009530A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ody Text"/>
    <w:basedOn w:val="a"/>
    <w:link w:val="a5"/>
    <w:rsid w:val="00437694"/>
    <w:pPr>
      <w:spacing w:after="120"/>
    </w:pPr>
  </w:style>
  <w:style w:type="paragraph" w:styleId="a6">
    <w:name w:val="footer"/>
    <w:basedOn w:val="a"/>
    <w:rsid w:val="00C60B5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60B5E"/>
  </w:style>
  <w:style w:type="paragraph" w:styleId="a8">
    <w:name w:val="header"/>
    <w:basedOn w:val="a"/>
    <w:link w:val="a9"/>
    <w:rsid w:val="00C60B5E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73503D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E34C2D"/>
    <w:pPr>
      <w:spacing w:after="120" w:line="480" w:lineRule="auto"/>
      <w:ind w:left="283"/>
    </w:pPr>
  </w:style>
  <w:style w:type="paragraph" w:styleId="ab">
    <w:name w:val="Document Map"/>
    <w:basedOn w:val="a"/>
    <w:link w:val="ac"/>
    <w:rsid w:val="005F718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Title"/>
    <w:basedOn w:val="a"/>
    <w:link w:val="ae"/>
    <w:qFormat/>
    <w:rsid w:val="00747B70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d"/>
    <w:rsid w:val="00747B70"/>
    <w:rPr>
      <w:b/>
      <w:bCs/>
      <w:sz w:val="24"/>
      <w:szCs w:val="24"/>
    </w:rPr>
  </w:style>
  <w:style w:type="character" w:customStyle="1" w:styleId="a5">
    <w:name w:val="Основной текст Знак"/>
    <w:link w:val="a4"/>
    <w:rsid w:val="00747B70"/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747B70"/>
    <w:rPr>
      <w:sz w:val="24"/>
      <w:szCs w:val="24"/>
    </w:rPr>
  </w:style>
  <w:style w:type="paragraph" w:styleId="3">
    <w:name w:val="Body Text Indent 3"/>
    <w:basedOn w:val="a"/>
    <w:link w:val="30"/>
    <w:rsid w:val="00747B7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747B70"/>
    <w:rPr>
      <w:sz w:val="28"/>
      <w:szCs w:val="24"/>
    </w:rPr>
  </w:style>
  <w:style w:type="paragraph" w:styleId="af">
    <w:name w:val="Body Text Indent"/>
    <w:basedOn w:val="a"/>
    <w:link w:val="af0"/>
    <w:rsid w:val="00747B7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747B70"/>
    <w:rPr>
      <w:sz w:val="24"/>
      <w:szCs w:val="24"/>
    </w:rPr>
  </w:style>
  <w:style w:type="character" w:styleId="af1">
    <w:name w:val="Hyperlink"/>
    <w:uiPriority w:val="99"/>
    <w:rsid w:val="00747B7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747B7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s1">
    <w:name w:val="s1"/>
    <w:rsid w:val="00747B7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2">
    <w:name w:val="Message Header"/>
    <w:basedOn w:val="a4"/>
    <w:link w:val="af3"/>
    <w:unhideWhenUsed/>
    <w:rsid w:val="00747B70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character" w:customStyle="1" w:styleId="af3">
    <w:name w:val="Шапка Знак"/>
    <w:basedOn w:val="a0"/>
    <w:link w:val="af2"/>
    <w:rsid w:val="00747B70"/>
    <w:rPr>
      <w:lang w:eastAsia="en-US"/>
    </w:rPr>
  </w:style>
  <w:style w:type="paragraph" w:customStyle="1" w:styleId="af4">
    <w:name w:val="Название документа"/>
    <w:next w:val="a"/>
    <w:rsid w:val="00747B70"/>
    <w:pPr>
      <w:spacing w:before="140" w:after="540" w:line="600" w:lineRule="atLeast"/>
      <w:ind w:left="840"/>
    </w:pPr>
    <w:rPr>
      <w:spacing w:val="-38"/>
      <w:sz w:val="60"/>
      <w:lang w:eastAsia="en-US"/>
    </w:rPr>
  </w:style>
  <w:style w:type="character" w:customStyle="1" w:styleId="af5">
    <w:name w:val="Заголовок сообщения (текст)"/>
    <w:rsid w:val="00747B70"/>
    <w:rPr>
      <w:rFonts w:ascii="Arial" w:hAnsi="Arial" w:cs="Arial" w:hint="default"/>
      <w:b/>
      <w:bCs w:val="0"/>
      <w:spacing w:val="-4"/>
      <w:sz w:val="18"/>
      <w:vertAlign w:val="baseline"/>
      <w:lang w:bidi="ar-SA"/>
    </w:rPr>
  </w:style>
  <w:style w:type="paragraph" w:customStyle="1" w:styleId="1">
    <w:name w:val="Знак Знак Знак1 Знак Знак Знак Знак Знак Знак Знак"/>
    <w:basedOn w:val="a"/>
    <w:autoRedefine/>
    <w:rsid w:val="00747B7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6">
    <w:name w:val="List Paragraph"/>
    <w:basedOn w:val="a"/>
    <w:uiPriority w:val="34"/>
    <w:qFormat/>
    <w:rsid w:val="00747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f7">
    <w:name w:val="Normal (Web)"/>
    <w:basedOn w:val="a"/>
    <w:unhideWhenUsed/>
    <w:rsid w:val="00747B70"/>
    <w:pPr>
      <w:spacing w:before="100" w:beforeAutospacing="1" w:after="100" w:afterAutospacing="1"/>
    </w:pPr>
    <w:rPr>
      <w:rFonts w:eastAsia="Calibri"/>
    </w:rPr>
  </w:style>
  <w:style w:type="character" w:customStyle="1" w:styleId="a9">
    <w:name w:val="Верхний колонтитул Знак"/>
    <w:basedOn w:val="a0"/>
    <w:link w:val="a8"/>
    <w:rsid w:val="00747B70"/>
    <w:rPr>
      <w:sz w:val="24"/>
      <w:szCs w:val="24"/>
    </w:rPr>
  </w:style>
  <w:style w:type="character" w:customStyle="1" w:styleId="ac">
    <w:name w:val="Схема документа Знак"/>
    <w:basedOn w:val="a0"/>
    <w:link w:val="ab"/>
    <w:rsid w:val="00747B70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Выполнение ремонтов и инвестиционных программ по реконструкции и техперевооружению основных средств, млн.тенге</a:t>
            </a:r>
            <a:endParaRPr lang="ru-RU" sz="14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25294610246673"/>
          <c:y val="4.098853953599986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738973327294841"/>
          <c:y val="0.3579978674540682"/>
          <c:w val="0.87013940798025891"/>
          <c:h val="0.433429571303587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инвестиции!$B$4</c:f>
              <c:strCache>
                <c:ptCount val="1"/>
                <c:pt idx="0">
                  <c:v>Инвестиционная программа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464381564158005E-2"/>
                  <c:y val="-2.65221860200033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038564761400928E-2"/>
                  <c:y val="-2.89330867312940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038564761400928E-2"/>
                  <c:y val="-2.41109056094116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7316015169672159E-2"/>
                  <c:y val="-2.65219961703528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4580800084091544E-2"/>
                  <c:y val="-1.39470013947001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инвестиции!$C$2:$H$2</c:f>
              <c:strCache>
                <c:ptCount val="5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  <c:pt idx="3">
                  <c:v>2017 год</c:v>
                </c:pt>
                <c:pt idx="4">
                  <c:v>2018 год</c:v>
                </c:pt>
              </c:strCache>
            </c:strRef>
          </c:cat>
          <c:val>
            <c:numRef>
              <c:f>инвестиции!$C$4:$G$4</c:f>
              <c:numCache>
                <c:formatCode>General</c:formatCode>
                <c:ptCount val="5"/>
                <c:pt idx="0">
                  <c:v>6582</c:v>
                </c:pt>
                <c:pt idx="1">
                  <c:v>8221</c:v>
                </c:pt>
                <c:pt idx="2">
                  <c:v>5446</c:v>
                </c:pt>
                <c:pt idx="3">
                  <c:v>2826</c:v>
                </c:pt>
                <c:pt idx="4">
                  <c:v>2094</c:v>
                </c:pt>
              </c:numCache>
            </c:numRef>
          </c:val>
        </c:ser>
        <c:ser>
          <c:idx val="0"/>
          <c:order val="1"/>
          <c:tx>
            <c:strRef>
              <c:f>инвестиции!$B$3</c:f>
              <c:strCache>
                <c:ptCount val="1"/>
                <c:pt idx="0">
                  <c:v>Ремонтный фонд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890198366915082E-2"/>
                  <c:y val="-2.16998150484704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890198366915082E-2"/>
                  <c:y val="-2.41109056094116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890198366915082E-2"/>
                  <c:y val="-2.16998150484705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741831972429236E-2"/>
                  <c:y val="-1.92887244875293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441066778788724E-2"/>
                  <c:y val="-8.3682008368200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инвестиции!$C$2:$H$2</c:f>
              <c:strCache>
                <c:ptCount val="5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  <c:pt idx="3">
                  <c:v>2017 год</c:v>
                </c:pt>
                <c:pt idx="4">
                  <c:v>2018 год</c:v>
                </c:pt>
              </c:strCache>
            </c:strRef>
          </c:cat>
          <c:val>
            <c:numRef>
              <c:f>инвестиции!$C$3:$G$3</c:f>
              <c:numCache>
                <c:formatCode>General</c:formatCode>
                <c:ptCount val="5"/>
                <c:pt idx="0">
                  <c:v>1197</c:v>
                </c:pt>
                <c:pt idx="1">
                  <c:v>1202</c:v>
                </c:pt>
                <c:pt idx="2">
                  <c:v>1355</c:v>
                </c:pt>
                <c:pt idx="3">
                  <c:v>1464</c:v>
                </c:pt>
                <c:pt idx="4">
                  <c:v>1515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3842176"/>
        <c:axId val="63843712"/>
        <c:axId val="0"/>
      </c:bar3DChart>
      <c:catAx>
        <c:axId val="6384217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3843712"/>
        <c:crosses val="autoZero"/>
        <c:auto val="1"/>
        <c:lblAlgn val="ctr"/>
        <c:lblOffset val="100"/>
        <c:noMultiLvlLbl val="0"/>
      </c:catAx>
      <c:valAx>
        <c:axId val="63843712"/>
        <c:scaling>
          <c:orientation val="minMax"/>
          <c:max val="900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3842176"/>
        <c:crosses val="autoZero"/>
        <c:crossBetween val="between"/>
        <c:majorUnit val="2000"/>
      </c:valAx>
    </c:plotArea>
    <c:legend>
      <c:legendPos val="r"/>
      <c:layout>
        <c:manualLayout>
          <c:xMode val="edge"/>
          <c:yMode val="edge"/>
          <c:x val="0.10697353455818023"/>
          <c:y val="0.89500765529308834"/>
          <c:w val="0.80135979877515295"/>
          <c:h val="0.10338728492271797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AB130-2310-4823-A546-B3C72C95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3309</TotalTime>
  <Pages>11</Pages>
  <Words>3166</Words>
  <Characters>18050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Аксесс Энерго СКРЭК</Company>
  <LinksUpToDate>false</LinksUpToDate>
  <CharactersWithSpaces>21174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skr-nachpeo</dc:creator>
  <cp:keywords/>
  <dc:description/>
  <cp:lastModifiedBy>Громова Анастасия Евгеньевна</cp:lastModifiedBy>
  <cp:revision>105</cp:revision>
  <cp:lastPrinted>2019-03-18T03:21:00Z</cp:lastPrinted>
  <dcterms:created xsi:type="dcterms:W3CDTF">2016-03-21T09:45:00Z</dcterms:created>
  <dcterms:modified xsi:type="dcterms:W3CDTF">2019-03-20T08:48:00Z</dcterms:modified>
</cp:coreProperties>
</file>